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FC4045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63563">
        <w:rPr>
          <w:rFonts w:cs="Tahoma"/>
          <w:sz w:val="32"/>
        </w:rPr>
        <w:t>e: Računalna oprema</w:t>
      </w:r>
    </w:p>
    <w:p w14:paraId="6D290A34" w14:textId="51EF517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63563">
        <w:rPr>
          <w:rFonts w:cs="Tahoma"/>
          <w:sz w:val="32"/>
        </w:rPr>
        <w:t>24</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BC3DD37" w:rsidR="004C7286" w:rsidRPr="00D37ACF" w:rsidRDefault="004C7286" w:rsidP="00AB2FDA">
      <w:pPr>
        <w:pStyle w:val="Azrastil"/>
        <w:rPr>
          <w:rFonts w:cs="Tahoma"/>
          <w:sz w:val="32"/>
        </w:rPr>
      </w:pPr>
      <w:r w:rsidRPr="00D37ACF">
        <w:rPr>
          <w:rFonts w:cs="Tahoma"/>
          <w:sz w:val="32"/>
        </w:rPr>
        <w:t xml:space="preserve">U.br. </w:t>
      </w:r>
      <w:r w:rsidR="00CC4B2A">
        <w:rPr>
          <w:rFonts w:cs="Tahoma"/>
          <w:sz w:val="32"/>
        </w:rPr>
        <w:t>01-395</w:t>
      </w:r>
      <w:r w:rsidR="00191AC6">
        <w:rPr>
          <w:rFonts w:cs="Tahoma"/>
          <w:sz w:val="32"/>
        </w:rPr>
        <w:t>-2-2021</w:t>
      </w:r>
    </w:p>
    <w:p w14:paraId="17D96310" w14:textId="6F353046" w:rsidR="003C4578" w:rsidRPr="007A03CA" w:rsidRDefault="00EC7524" w:rsidP="007A03CA">
      <w:pPr>
        <w:pStyle w:val="Azrastil"/>
        <w:rPr>
          <w:rFonts w:cs="Tahoma"/>
          <w:sz w:val="32"/>
        </w:rPr>
      </w:pPr>
      <w:r>
        <w:rPr>
          <w:rFonts w:cs="Tahoma"/>
          <w:sz w:val="32"/>
        </w:rPr>
        <w:t>Zagreb, travanj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BB0D77">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BB0D77">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BB0D77">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BB0D77">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BB0D77">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BB0D77">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BB0D77">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BB0D77">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BB0D77">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BB0D77">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BB0D77">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BB0D77">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BB0D77">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BB0D77">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BB0D77">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BB0D77">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0BF4D6D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63563">
        <w:rPr>
          <w:rFonts w:cs="Tahoma"/>
          <w:b/>
          <w:szCs w:val="20"/>
        </w:rPr>
        <w:t>ve: Računalna oprema</w:t>
      </w:r>
    </w:p>
    <w:p w14:paraId="282C2587" w14:textId="1992A8ED" w:rsidR="00E26EF3" w:rsidRPr="00E26EF3" w:rsidRDefault="00E26EF3" w:rsidP="00B63563">
      <w:pPr>
        <w:spacing w:after="0" w:line="240" w:lineRule="auto"/>
        <w:rPr>
          <w:rFonts w:eastAsia="Times New Roman" w:cstheme="minorHAnsi"/>
        </w:rPr>
      </w:pPr>
    </w:p>
    <w:p w14:paraId="7A0ECC88" w14:textId="13310B7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63563">
        <w:rPr>
          <w:rFonts w:cs="Tahoma"/>
          <w:szCs w:val="20"/>
        </w:rPr>
        <w:t>24</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6DCCE83"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63563" w:rsidRPr="00BE07F7">
        <w:rPr>
          <w:rFonts w:eastAsia="Times New Roman"/>
        </w:rPr>
        <w:t>30200000-1</w:t>
      </w:r>
      <w:r w:rsidR="00B63563">
        <w:rPr>
          <w:rFonts w:eastAsia="Times New Roman"/>
        </w:rPr>
        <w:t xml:space="preserve"> Računarska oprema i potrepštine</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7E2EDB83" w:rsidR="00C322A8" w:rsidRPr="00B63563" w:rsidRDefault="00CD740A" w:rsidP="00B63563">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B1CA0">
        <w:rPr>
          <w:rFonts w:cs="Tahoma"/>
          <w:szCs w:val="20"/>
        </w:rPr>
        <w:t>5</w:t>
      </w:r>
      <w:r w:rsidR="00B63563">
        <w:rPr>
          <w:rFonts w:cs="Tahoma"/>
          <w:szCs w:val="20"/>
        </w:rPr>
        <w:t xml:space="preserve"> </w:t>
      </w:r>
      <w:r w:rsidR="00CE7157" w:rsidRPr="00756CFD">
        <w:rPr>
          <w:rFonts w:cs="Tahoma"/>
          <w:szCs w:val="20"/>
        </w:rPr>
        <w:t>dana od izdane narudžbenice</w:t>
      </w:r>
    </w:p>
    <w:p w14:paraId="45855EDA" w14:textId="70E28C9F" w:rsidR="00B63563" w:rsidRPr="00B63563" w:rsidRDefault="00B63563" w:rsidP="00B63563">
      <w:pPr>
        <w:pStyle w:val="Azrastil"/>
        <w:jc w:val="both"/>
        <w:rPr>
          <w:rFonts w:cs="Tahoma"/>
          <w:szCs w:val="20"/>
          <w:lang w:val="en-US"/>
        </w:rPr>
      </w:pPr>
    </w:p>
    <w:p w14:paraId="5A24514A" w14:textId="1B3808A3" w:rsidR="00A51433" w:rsidRDefault="00C322A8" w:rsidP="00A51433">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63563" w:rsidRPr="00A51433">
        <w:rPr>
          <w:rFonts w:cs="Tahoma"/>
          <w:szCs w:val="20"/>
          <w:lang w:val="en-US"/>
        </w:rPr>
        <w:t>195</w:t>
      </w:r>
      <w:r w:rsidR="00F170AC" w:rsidRPr="00A51433">
        <w:rPr>
          <w:rFonts w:cs="Tahoma"/>
          <w:szCs w:val="20"/>
          <w:lang w:val="en-US"/>
        </w:rPr>
        <w:t>.00</w:t>
      </w:r>
      <w:r w:rsidRPr="00A51433">
        <w:rPr>
          <w:rFonts w:cs="Tahoma"/>
          <w:szCs w:val="20"/>
          <w:lang w:val="en-US"/>
        </w:rPr>
        <w:t>0,00 kn bez PDV-a</w:t>
      </w:r>
    </w:p>
    <w:p w14:paraId="5FBBAB1C" w14:textId="2F18944E" w:rsidR="009D09B8" w:rsidRPr="00D37ACF" w:rsidRDefault="009D09B8" w:rsidP="009D09B8">
      <w:pPr>
        <w:pStyle w:val="Azrastil"/>
        <w:jc w:val="both"/>
        <w:rPr>
          <w:rFonts w:cs="Tahoma"/>
          <w:szCs w:val="20"/>
          <w:lang w:val="en-US"/>
        </w:rPr>
      </w:pPr>
    </w:p>
    <w:p w14:paraId="7EAE0954" w14:textId="464CF89F"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A51433">
        <w:rPr>
          <w:rFonts w:eastAsia="Times New Roman"/>
          <w:szCs w:val="20"/>
        </w:rPr>
        <w:t>Predmet nabave podijeljen je u dvije grupe:</w:t>
      </w:r>
    </w:p>
    <w:p w14:paraId="11EAC455" w14:textId="03B0A347" w:rsidR="00A51433" w:rsidRDefault="00A51433" w:rsidP="00A51433">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712"/>
        <w:gridCol w:w="3903"/>
      </w:tblGrid>
      <w:tr w:rsidR="00A51433" w:rsidRPr="00B97A75" w14:paraId="790C3F71" w14:textId="77777777" w:rsidTr="00A51433">
        <w:trPr>
          <w:trHeight w:val="232"/>
          <w:jc w:val="center"/>
        </w:trPr>
        <w:tc>
          <w:tcPr>
            <w:tcW w:w="871" w:type="dxa"/>
            <w:shd w:val="clear" w:color="auto" w:fill="DBE5F1" w:themeFill="accent1" w:themeFillTint="33"/>
          </w:tcPr>
          <w:p w14:paraId="0C131F12" w14:textId="77777777" w:rsidR="00A51433" w:rsidRPr="00A51433" w:rsidRDefault="00A51433" w:rsidP="009B5AB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Broj grupe</w:t>
            </w:r>
          </w:p>
        </w:tc>
        <w:tc>
          <w:tcPr>
            <w:tcW w:w="3712" w:type="dxa"/>
            <w:shd w:val="clear" w:color="auto" w:fill="DBE5F1" w:themeFill="accent1" w:themeFillTint="33"/>
          </w:tcPr>
          <w:p w14:paraId="549BB66D" w14:textId="77777777" w:rsidR="00A51433" w:rsidRPr="00A51433" w:rsidRDefault="00A51433" w:rsidP="009B5AB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Naziv grupe</w:t>
            </w:r>
          </w:p>
        </w:tc>
        <w:tc>
          <w:tcPr>
            <w:tcW w:w="3903" w:type="dxa"/>
            <w:tcBorders>
              <w:bottom w:val="single" w:sz="4" w:space="0" w:color="auto"/>
            </w:tcBorders>
            <w:shd w:val="clear" w:color="auto" w:fill="DBE5F1" w:themeFill="accent1" w:themeFillTint="33"/>
          </w:tcPr>
          <w:p w14:paraId="74B258F9" w14:textId="77777777" w:rsidR="00A51433" w:rsidRPr="00A51433" w:rsidRDefault="00A51433" w:rsidP="009B5AB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Ukupna procijenjena vrijednost grupe bez PDV-a, u kn</w:t>
            </w:r>
          </w:p>
        </w:tc>
      </w:tr>
      <w:tr w:rsidR="00A51433" w:rsidRPr="00FA39D4" w14:paraId="65368F53" w14:textId="77777777" w:rsidTr="00A51433">
        <w:trPr>
          <w:trHeight w:val="219"/>
          <w:jc w:val="center"/>
        </w:trPr>
        <w:tc>
          <w:tcPr>
            <w:tcW w:w="871" w:type="dxa"/>
          </w:tcPr>
          <w:p w14:paraId="65EABCF9" w14:textId="77777777" w:rsidR="00A51433" w:rsidRPr="00A51433" w:rsidRDefault="00A51433" w:rsidP="00A51433">
            <w:pPr>
              <w:keepNext/>
              <w:keepLines/>
              <w:numPr>
                <w:ilvl w:val="0"/>
                <w:numId w:val="33"/>
              </w:numPr>
              <w:jc w:val="center"/>
              <w:outlineLvl w:val="1"/>
              <w:rPr>
                <w:rFonts w:eastAsiaTheme="majorEastAsia" w:cstheme="minorHAnsi"/>
                <w:b/>
                <w:color w:val="000000" w:themeColor="text1"/>
              </w:rPr>
            </w:pPr>
          </w:p>
        </w:tc>
        <w:tc>
          <w:tcPr>
            <w:tcW w:w="3712" w:type="dxa"/>
          </w:tcPr>
          <w:p w14:paraId="79607E16" w14:textId="27839F84" w:rsidR="00A51433" w:rsidRPr="00A51433" w:rsidRDefault="00A51433" w:rsidP="009B5AB5">
            <w:pPr>
              <w:rPr>
                <w:rFonts w:ascii="Calibri" w:hAnsi="Calibri" w:cs="Calibri"/>
                <w:b/>
                <w:bCs/>
                <w:color w:val="000000"/>
              </w:rPr>
            </w:pPr>
            <w:r w:rsidRPr="00A51433">
              <w:rPr>
                <w:rFonts w:ascii="Calibri" w:hAnsi="Calibri" w:cs="Calibri"/>
                <w:b/>
                <w:bCs/>
                <w:color w:val="000000"/>
              </w:rPr>
              <w:t>Grupa 1</w:t>
            </w:r>
          </w:p>
        </w:tc>
        <w:tc>
          <w:tcPr>
            <w:tcW w:w="3903" w:type="dxa"/>
            <w:tcBorders>
              <w:top w:val="single" w:sz="4" w:space="0" w:color="auto"/>
              <w:left w:val="nil"/>
              <w:bottom w:val="single" w:sz="4" w:space="0" w:color="auto"/>
              <w:right w:val="single" w:sz="4" w:space="0" w:color="auto"/>
            </w:tcBorders>
            <w:shd w:val="clear" w:color="auto" w:fill="auto"/>
            <w:vAlign w:val="center"/>
          </w:tcPr>
          <w:p w14:paraId="05D205D6" w14:textId="655AB918" w:rsidR="00A51433" w:rsidRPr="00A51433" w:rsidRDefault="00D67E61" w:rsidP="009B5AB5">
            <w:pPr>
              <w:keepNext/>
              <w:keepLines/>
              <w:jc w:val="center"/>
              <w:outlineLvl w:val="1"/>
              <w:rPr>
                <w:rFonts w:eastAsiaTheme="majorEastAsia" w:cstheme="minorHAnsi"/>
                <w:b/>
                <w:color w:val="000000" w:themeColor="text1"/>
              </w:rPr>
            </w:pPr>
            <w:r>
              <w:rPr>
                <w:rFonts w:eastAsiaTheme="majorEastAsia" w:cstheme="minorHAnsi"/>
                <w:b/>
                <w:color w:val="000000" w:themeColor="text1"/>
              </w:rPr>
              <w:t>136</w:t>
            </w:r>
            <w:r w:rsidR="00A51433" w:rsidRPr="00A51433">
              <w:rPr>
                <w:rFonts w:eastAsiaTheme="majorEastAsia" w:cstheme="minorHAnsi"/>
                <w:b/>
                <w:color w:val="000000" w:themeColor="text1"/>
              </w:rPr>
              <w:t>.000,00</w:t>
            </w:r>
          </w:p>
        </w:tc>
      </w:tr>
      <w:tr w:rsidR="00A51433" w:rsidRPr="00FA39D4" w14:paraId="798AF456" w14:textId="77777777" w:rsidTr="00A51433">
        <w:trPr>
          <w:trHeight w:val="219"/>
          <w:jc w:val="center"/>
        </w:trPr>
        <w:tc>
          <w:tcPr>
            <w:tcW w:w="871" w:type="dxa"/>
          </w:tcPr>
          <w:p w14:paraId="79253FE9" w14:textId="77777777" w:rsidR="00A51433" w:rsidRPr="00A51433" w:rsidRDefault="00A51433" w:rsidP="00A51433">
            <w:pPr>
              <w:keepNext/>
              <w:keepLines/>
              <w:numPr>
                <w:ilvl w:val="0"/>
                <w:numId w:val="33"/>
              </w:numPr>
              <w:jc w:val="center"/>
              <w:outlineLvl w:val="1"/>
              <w:rPr>
                <w:rFonts w:eastAsiaTheme="majorEastAsia" w:cstheme="minorHAnsi"/>
                <w:b/>
                <w:color w:val="000000" w:themeColor="text1"/>
              </w:rPr>
            </w:pPr>
          </w:p>
        </w:tc>
        <w:tc>
          <w:tcPr>
            <w:tcW w:w="3712" w:type="dxa"/>
          </w:tcPr>
          <w:p w14:paraId="2511C8E7" w14:textId="06FE42B1" w:rsidR="00A51433" w:rsidRPr="00A51433" w:rsidRDefault="00A51433" w:rsidP="009B5AB5">
            <w:pPr>
              <w:rPr>
                <w:rFonts w:ascii="Calibri" w:hAnsi="Calibri" w:cs="Calibri"/>
                <w:b/>
                <w:bCs/>
                <w:color w:val="000000"/>
              </w:rPr>
            </w:pPr>
            <w:r w:rsidRPr="00A51433">
              <w:rPr>
                <w:rFonts w:ascii="Calibri" w:hAnsi="Calibri" w:cs="Calibri"/>
                <w:b/>
                <w:bCs/>
                <w:color w:val="000000"/>
              </w:rPr>
              <w:t>Grupa 2</w:t>
            </w:r>
          </w:p>
        </w:tc>
        <w:tc>
          <w:tcPr>
            <w:tcW w:w="3903" w:type="dxa"/>
            <w:tcBorders>
              <w:top w:val="single" w:sz="4" w:space="0" w:color="auto"/>
              <w:left w:val="nil"/>
              <w:bottom w:val="single" w:sz="4" w:space="0" w:color="auto"/>
              <w:right w:val="single" w:sz="4" w:space="0" w:color="auto"/>
            </w:tcBorders>
            <w:shd w:val="clear" w:color="auto" w:fill="auto"/>
            <w:vAlign w:val="center"/>
          </w:tcPr>
          <w:p w14:paraId="3655181D" w14:textId="47BEB97E" w:rsidR="00A51433" w:rsidRPr="00A51433" w:rsidRDefault="00D67E61" w:rsidP="009B5AB5">
            <w:pPr>
              <w:keepNext/>
              <w:keepLines/>
              <w:jc w:val="center"/>
              <w:outlineLvl w:val="1"/>
              <w:rPr>
                <w:rFonts w:eastAsiaTheme="majorEastAsia" w:cstheme="minorHAnsi"/>
                <w:b/>
                <w:color w:val="000000" w:themeColor="text1"/>
              </w:rPr>
            </w:pPr>
            <w:r>
              <w:rPr>
                <w:rFonts w:eastAsiaTheme="majorEastAsia" w:cstheme="minorHAnsi"/>
                <w:b/>
                <w:color w:val="000000" w:themeColor="text1"/>
              </w:rPr>
              <w:t>59.0</w:t>
            </w:r>
            <w:r w:rsidR="00A51433" w:rsidRPr="00A51433">
              <w:rPr>
                <w:rFonts w:eastAsiaTheme="majorEastAsia" w:cstheme="minorHAnsi"/>
                <w:b/>
                <w:color w:val="000000" w:themeColor="text1"/>
              </w:rPr>
              <w:t>00,00</w:t>
            </w:r>
          </w:p>
        </w:tc>
      </w:tr>
    </w:tbl>
    <w:p w14:paraId="2A74844E" w14:textId="77777777" w:rsidR="00A51433" w:rsidRDefault="00A51433" w:rsidP="00A51433">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3410467"/>
      <w:bookmarkStart w:id="50" w:name="_Hlk47610946"/>
      <w:r w:rsidRPr="00D37ACF">
        <w:rPr>
          <w:sz w:val="32"/>
        </w:rPr>
        <w:lastRenderedPageBreak/>
        <w:t>Rok za dostavu ponuda</w:t>
      </w:r>
      <w:bookmarkEnd w:id="49"/>
    </w:p>
    <w:p w14:paraId="785202C3" w14:textId="3F4AE0F7" w:rsidR="00CD740A" w:rsidRPr="00D37ACF" w:rsidRDefault="00EC7524" w:rsidP="00FE78BC">
      <w:pPr>
        <w:pStyle w:val="Azrastil"/>
        <w:jc w:val="both"/>
        <w:rPr>
          <w:rFonts w:cs="Tahoma"/>
          <w:szCs w:val="20"/>
          <w:lang w:val="pl-PL"/>
        </w:rPr>
      </w:pPr>
      <w:bookmarkStart w:id="51" w:name="_Hlk47611064"/>
      <w:bookmarkEnd w:id="50"/>
      <w:r>
        <w:rPr>
          <w:rFonts w:cs="Tahoma"/>
          <w:b/>
          <w:bCs/>
          <w:szCs w:val="20"/>
          <w:lang w:val="pl-PL"/>
        </w:rPr>
        <w:t>06.05</w:t>
      </w:r>
      <w:r w:rsidR="00FD341C" w:rsidRPr="00EC7524">
        <w:rPr>
          <w:rFonts w:cs="Tahoma"/>
          <w:b/>
          <w:bCs/>
          <w:szCs w:val="20"/>
          <w:lang w:val="pl-PL"/>
        </w:rPr>
        <w:t>.2021</w:t>
      </w:r>
      <w:r w:rsidR="00CD740A" w:rsidRPr="00EC7524">
        <w:rPr>
          <w:rFonts w:cs="Tahoma"/>
          <w:b/>
          <w:bCs/>
          <w:szCs w:val="20"/>
          <w:lang w:val="pl-PL"/>
        </w:rPr>
        <w:t>. godine do 1</w:t>
      </w:r>
      <w:r w:rsidR="00BB0D77">
        <w:rPr>
          <w:rFonts w:cs="Tahoma"/>
          <w:b/>
          <w:bCs/>
          <w:szCs w:val="20"/>
          <w:lang w:val="pl-PL"/>
        </w:rPr>
        <w:t>0</w:t>
      </w:r>
      <w:bookmarkStart w:id="52" w:name="_GoBack"/>
      <w:bookmarkEnd w:id="52"/>
      <w:r w:rsidR="00CD740A" w:rsidRPr="00EC7524">
        <w:rPr>
          <w:rFonts w:cs="Tahoma"/>
          <w:b/>
          <w:bCs/>
          <w:szCs w:val="20"/>
          <w:lang w:val="pl-PL"/>
        </w:rPr>
        <w:t>:00 sati</w:t>
      </w:r>
      <w:r w:rsidR="00CD740A" w:rsidRPr="00EC7524">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63410470"/>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D0531A3" w14:textId="77777777" w:rsidR="00D14BC0" w:rsidRDefault="00D14BC0" w:rsidP="00D14BC0">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5B4E1E3E" w14:textId="16615527" w:rsidR="00D14BC0" w:rsidRDefault="00D14BC0" w:rsidP="00D14BC0">
      <w:pPr>
        <w:jc w:val="both"/>
        <w:rPr>
          <w:rFonts w:ascii="Calibri" w:hAnsi="Calibri" w:cs="Calibri"/>
        </w:rPr>
      </w:pPr>
      <w:r w:rsidRPr="005B08C0">
        <w:rPr>
          <w:rFonts w:ascii="Calibri" w:hAnsi="Calibri" w:cs="Calibri"/>
        </w:rPr>
        <w:t>Sukladno članku 215. stavku 2. Zakona jamstvo za ozbiljnost ponude je određen</w:t>
      </w:r>
      <w:r w:rsidR="0040377E">
        <w:rPr>
          <w:rFonts w:ascii="Calibri" w:hAnsi="Calibri" w:cs="Calibri"/>
        </w:rPr>
        <w:t>o u apsolutnom iznosu.</w:t>
      </w:r>
    </w:p>
    <w:p w14:paraId="2F0C7004" w14:textId="5719F661" w:rsidR="0040377E" w:rsidRDefault="0040377E" w:rsidP="00D14BC0">
      <w:pPr>
        <w:jc w:val="both"/>
        <w:rPr>
          <w:rFonts w:ascii="Calibri" w:hAnsi="Calibri" w:cs="Calibri"/>
        </w:rPr>
      </w:pPr>
      <w:r>
        <w:rPr>
          <w:rFonts w:ascii="Calibri" w:hAnsi="Calibri" w:cs="Calibri"/>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40377E" w:rsidRPr="006D2A49" w14:paraId="373927D7" w14:textId="77777777" w:rsidTr="009B5AB5">
        <w:trPr>
          <w:trHeight w:val="232"/>
          <w:jc w:val="center"/>
        </w:trPr>
        <w:tc>
          <w:tcPr>
            <w:tcW w:w="871" w:type="dxa"/>
            <w:shd w:val="clear" w:color="auto" w:fill="DBE5F1" w:themeFill="accent1" w:themeFillTint="33"/>
          </w:tcPr>
          <w:p w14:paraId="74107783" w14:textId="77777777" w:rsidR="0040377E" w:rsidRPr="0040377E" w:rsidRDefault="0040377E" w:rsidP="009B5AB5">
            <w:pPr>
              <w:pStyle w:val="Heading2"/>
              <w:spacing w:before="0"/>
              <w:jc w:val="center"/>
              <w:outlineLvl w:val="1"/>
              <w:rPr>
                <w:rFonts w:asciiTheme="minorHAnsi" w:hAnsiTheme="minorHAnsi" w:cstheme="minorHAnsi"/>
                <w:color w:val="000000" w:themeColor="text1"/>
                <w:sz w:val="22"/>
                <w:szCs w:val="22"/>
              </w:rPr>
            </w:pPr>
            <w:r w:rsidRPr="0040377E">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36C5DDC4" w14:textId="77777777" w:rsidR="0040377E" w:rsidRPr="0040377E" w:rsidRDefault="0040377E" w:rsidP="009B5AB5">
            <w:pPr>
              <w:pStyle w:val="Heading2"/>
              <w:spacing w:before="0"/>
              <w:jc w:val="center"/>
              <w:outlineLvl w:val="1"/>
              <w:rPr>
                <w:rFonts w:asciiTheme="minorHAnsi" w:hAnsiTheme="minorHAnsi" w:cstheme="minorHAnsi"/>
                <w:color w:val="000000" w:themeColor="text1"/>
                <w:sz w:val="22"/>
                <w:szCs w:val="22"/>
              </w:rPr>
            </w:pPr>
            <w:r w:rsidRPr="0040377E">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5FD987BC" w14:textId="77777777" w:rsidR="0040377E" w:rsidRPr="0040377E" w:rsidRDefault="0040377E" w:rsidP="009B5AB5">
            <w:pPr>
              <w:pStyle w:val="Heading2"/>
              <w:spacing w:before="0"/>
              <w:jc w:val="center"/>
              <w:outlineLvl w:val="1"/>
              <w:rPr>
                <w:rFonts w:asciiTheme="minorHAnsi" w:hAnsiTheme="minorHAnsi" w:cstheme="minorHAnsi"/>
                <w:color w:val="000000" w:themeColor="text1"/>
                <w:sz w:val="22"/>
                <w:szCs w:val="22"/>
              </w:rPr>
            </w:pPr>
            <w:r w:rsidRPr="0040377E">
              <w:rPr>
                <w:rFonts w:asciiTheme="minorHAnsi" w:hAnsiTheme="minorHAnsi" w:cstheme="minorHAnsi"/>
                <w:color w:val="000000" w:themeColor="text1"/>
                <w:sz w:val="22"/>
                <w:szCs w:val="22"/>
              </w:rPr>
              <w:t>Ukupna procijenjena vrijednost grupe bez PDV-a, u kn</w:t>
            </w:r>
          </w:p>
        </w:tc>
      </w:tr>
      <w:tr w:rsidR="0040377E" w:rsidRPr="006D2A49" w14:paraId="020F4A15" w14:textId="77777777" w:rsidTr="009B5AB5">
        <w:trPr>
          <w:trHeight w:val="219"/>
          <w:jc w:val="center"/>
        </w:trPr>
        <w:tc>
          <w:tcPr>
            <w:tcW w:w="871" w:type="dxa"/>
          </w:tcPr>
          <w:p w14:paraId="26BA3634" w14:textId="77777777" w:rsidR="0040377E" w:rsidRPr="0040377E" w:rsidRDefault="0040377E" w:rsidP="0040377E">
            <w:pPr>
              <w:pStyle w:val="Heading2"/>
              <w:numPr>
                <w:ilvl w:val="0"/>
                <w:numId w:val="34"/>
              </w:numPr>
              <w:spacing w:before="0"/>
              <w:jc w:val="center"/>
              <w:outlineLvl w:val="1"/>
              <w:rPr>
                <w:rFonts w:asciiTheme="minorHAnsi" w:hAnsiTheme="minorHAnsi" w:cstheme="minorHAnsi"/>
                <w:b/>
                <w:color w:val="000000" w:themeColor="text1"/>
                <w:sz w:val="22"/>
                <w:szCs w:val="22"/>
              </w:rPr>
            </w:pPr>
          </w:p>
        </w:tc>
        <w:tc>
          <w:tcPr>
            <w:tcW w:w="3827" w:type="dxa"/>
          </w:tcPr>
          <w:p w14:paraId="50BE2D39" w14:textId="13DEE74E" w:rsidR="0040377E" w:rsidRPr="0040377E" w:rsidRDefault="0040377E" w:rsidP="009B5AB5">
            <w:pPr>
              <w:rPr>
                <w:rFonts w:ascii="Calibri" w:hAnsi="Calibri" w:cs="Calibri"/>
                <w:b/>
                <w:bCs/>
                <w:color w:val="000000"/>
              </w:rPr>
            </w:pPr>
            <w:r w:rsidRPr="0040377E">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2AD9D6B9" w14:textId="4FAD1C85" w:rsidR="0040377E" w:rsidRPr="0040377E" w:rsidRDefault="0040377E" w:rsidP="009B5AB5">
            <w:pPr>
              <w:jc w:val="center"/>
              <w:rPr>
                <w:rFonts w:ascii="Calibri" w:hAnsi="Calibri" w:cs="Calibri"/>
                <w:b/>
                <w:bCs/>
                <w:color w:val="000000"/>
              </w:rPr>
            </w:pPr>
            <w:r w:rsidRPr="0040377E">
              <w:rPr>
                <w:rFonts w:ascii="Calibri" w:hAnsi="Calibri" w:cs="Calibri"/>
                <w:b/>
                <w:bCs/>
                <w:color w:val="000000"/>
              </w:rPr>
              <w:t>3.500,00</w:t>
            </w:r>
          </w:p>
        </w:tc>
      </w:tr>
      <w:tr w:rsidR="0040377E" w:rsidRPr="006D2A49" w14:paraId="5AF58879" w14:textId="77777777" w:rsidTr="009B5AB5">
        <w:trPr>
          <w:trHeight w:val="219"/>
          <w:jc w:val="center"/>
        </w:trPr>
        <w:tc>
          <w:tcPr>
            <w:tcW w:w="871" w:type="dxa"/>
          </w:tcPr>
          <w:p w14:paraId="1F99B710" w14:textId="77777777" w:rsidR="0040377E" w:rsidRPr="0040377E" w:rsidRDefault="0040377E" w:rsidP="0040377E">
            <w:pPr>
              <w:pStyle w:val="Heading2"/>
              <w:numPr>
                <w:ilvl w:val="0"/>
                <w:numId w:val="34"/>
              </w:numPr>
              <w:spacing w:before="0"/>
              <w:jc w:val="center"/>
              <w:outlineLvl w:val="1"/>
              <w:rPr>
                <w:rFonts w:asciiTheme="minorHAnsi" w:hAnsiTheme="minorHAnsi" w:cstheme="minorHAnsi"/>
                <w:b/>
                <w:color w:val="000000" w:themeColor="text1"/>
                <w:sz w:val="22"/>
                <w:szCs w:val="22"/>
              </w:rPr>
            </w:pPr>
          </w:p>
        </w:tc>
        <w:tc>
          <w:tcPr>
            <w:tcW w:w="3827" w:type="dxa"/>
          </w:tcPr>
          <w:p w14:paraId="67109377" w14:textId="4E1F1F5D" w:rsidR="0040377E" w:rsidRPr="0040377E" w:rsidRDefault="0040377E" w:rsidP="009B5AB5">
            <w:pPr>
              <w:rPr>
                <w:rFonts w:ascii="Calibri" w:hAnsi="Calibri" w:cs="Calibri"/>
                <w:b/>
                <w:bCs/>
                <w:color w:val="000000"/>
              </w:rPr>
            </w:pPr>
            <w:r w:rsidRPr="0040377E">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01F624FC" w14:textId="62B19A94" w:rsidR="0040377E" w:rsidRPr="0040377E" w:rsidRDefault="0040377E" w:rsidP="009B5AB5">
            <w:pPr>
              <w:jc w:val="center"/>
              <w:rPr>
                <w:rFonts w:ascii="Calibri" w:hAnsi="Calibri" w:cs="Calibri"/>
                <w:b/>
                <w:bCs/>
                <w:color w:val="000000"/>
              </w:rPr>
            </w:pPr>
            <w:r w:rsidRPr="0040377E">
              <w:rPr>
                <w:rFonts w:ascii="Calibri" w:hAnsi="Calibri" w:cs="Calibri"/>
                <w:b/>
                <w:bCs/>
                <w:color w:val="000000"/>
              </w:rPr>
              <w:t>1.500,00</w:t>
            </w:r>
          </w:p>
        </w:tc>
      </w:tr>
    </w:tbl>
    <w:p w14:paraId="463B469A" w14:textId="77777777" w:rsidR="0040377E" w:rsidRDefault="0040377E" w:rsidP="00D14BC0">
      <w:pPr>
        <w:jc w:val="both"/>
        <w:rPr>
          <w:rFonts w:ascii="Calibri" w:hAnsi="Calibri" w:cs="Calibri"/>
          <w:b/>
        </w:rPr>
      </w:pPr>
    </w:p>
    <w:p w14:paraId="7CCAE2FE" w14:textId="1FC0E5C4" w:rsidR="00D14BC0" w:rsidRPr="00B61C8E" w:rsidRDefault="00D14BC0" w:rsidP="00D14BC0">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0E732B74" w14:textId="77777777" w:rsidR="00D14BC0" w:rsidRPr="0032516D" w:rsidRDefault="00D14BC0" w:rsidP="00D14BC0">
      <w:pPr>
        <w:pStyle w:val="ListParagraph"/>
        <w:spacing w:after="0"/>
        <w:outlineLvl w:val="0"/>
        <w:rPr>
          <w:rFonts w:eastAsia="Times New Roman" w:cs="Calibri"/>
          <w:snapToGrid w:val="0"/>
        </w:rPr>
      </w:pPr>
    </w:p>
    <w:p w14:paraId="7356BA4F" w14:textId="77777777" w:rsidR="00D14BC0" w:rsidRPr="0032516D" w:rsidRDefault="00D14BC0" w:rsidP="00D14BC0">
      <w:pPr>
        <w:pStyle w:val="ListParagraph"/>
        <w:ind w:left="0"/>
        <w:rPr>
          <w:rFonts w:cs="Calibri"/>
        </w:rPr>
      </w:pPr>
      <w:r w:rsidRPr="0032516D">
        <w:rPr>
          <w:rFonts w:cs="Calibri"/>
        </w:rPr>
        <w:t>Jamstvo za ozbiljnost ponude se zahtijeva</w:t>
      </w:r>
      <w:r>
        <w:rPr>
          <w:rFonts w:cs="Calibri"/>
        </w:rPr>
        <w:t xml:space="preserve"> i aktivira</w:t>
      </w:r>
      <w:r w:rsidRPr="0032516D">
        <w:rPr>
          <w:rFonts w:cs="Calibri"/>
        </w:rPr>
        <w:t xml:space="preserve"> u slučaju: </w:t>
      </w:r>
    </w:p>
    <w:p w14:paraId="6136593D" w14:textId="77777777" w:rsidR="00D14BC0" w:rsidRPr="0032516D" w:rsidRDefault="00D14BC0" w:rsidP="00D14BC0">
      <w:pPr>
        <w:pStyle w:val="ListParagraph"/>
        <w:numPr>
          <w:ilvl w:val="1"/>
          <w:numId w:val="25"/>
        </w:numPr>
        <w:jc w:val="both"/>
        <w:rPr>
          <w:rFonts w:cs="Calibri"/>
        </w:rPr>
      </w:pPr>
      <w:r w:rsidRPr="0032516D">
        <w:rPr>
          <w:rFonts w:cs="Calibri"/>
        </w:rPr>
        <w:t xml:space="preserve">odustajanja ponuditelja od svoje ponude u roku njezine valjanosti, </w:t>
      </w:r>
    </w:p>
    <w:p w14:paraId="7D0A72C4" w14:textId="77777777" w:rsidR="00D14BC0" w:rsidRPr="0032516D" w:rsidRDefault="00D14BC0" w:rsidP="00D14BC0">
      <w:pPr>
        <w:pStyle w:val="ListParagraph"/>
        <w:numPr>
          <w:ilvl w:val="1"/>
          <w:numId w:val="25"/>
        </w:numPr>
        <w:jc w:val="both"/>
        <w:rPr>
          <w:rFonts w:cs="Calibri"/>
        </w:rPr>
      </w:pPr>
      <w:r w:rsidRPr="0032516D">
        <w:rPr>
          <w:rFonts w:cs="Calibri"/>
        </w:rPr>
        <w:t>nedostavlja</w:t>
      </w:r>
      <w:r>
        <w:rPr>
          <w:rFonts w:cs="Calibri"/>
        </w:rPr>
        <w:t>nja dokumenata – dokaza koji su osnova za isključenje i uvjeti za dokazivanje sposobnosti gospodarskog subjekta sukladno ZOJN 2016.</w:t>
      </w:r>
    </w:p>
    <w:p w14:paraId="14E1C1D7" w14:textId="77777777" w:rsidR="00D14BC0" w:rsidRPr="0032516D" w:rsidRDefault="00D14BC0" w:rsidP="00D14BC0">
      <w:pPr>
        <w:pStyle w:val="ListParagraph"/>
        <w:numPr>
          <w:ilvl w:val="1"/>
          <w:numId w:val="25"/>
        </w:numPr>
        <w:jc w:val="both"/>
        <w:rPr>
          <w:rFonts w:cs="Calibri"/>
        </w:rPr>
      </w:pPr>
      <w:r w:rsidRPr="0032516D">
        <w:rPr>
          <w:rFonts w:cs="Calibri"/>
        </w:rPr>
        <w:t xml:space="preserve">neprihvaćanja ispravka računske greške, </w:t>
      </w:r>
    </w:p>
    <w:p w14:paraId="33D619AA" w14:textId="77777777" w:rsidR="00D14BC0" w:rsidRPr="0032516D" w:rsidRDefault="00D14BC0" w:rsidP="00D14BC0">
      <w:pPr>
        <w:pStyle w:val="ListParagraph"/>
        <w:numPr>
          <w:ilvl w:val="1"/>
          <w:numId w:val="25"/>
        </w:numPr>
        <w:jc w:val="both"/>
        <w:rPr>
          <w:rFonts w:cs="Calibri"/>
        </w:rPr>
      </w:pPr>
      <w:r w:rsidRPr="0032516D">
        <w:rPr>
          <w:rFonts w:cs="Calibri"/>
        </w:rPr>
        <w:t xml:space="preserve">odbijanja potpisivanja ugovora o javnoj nabavi ili okvirnog sporazuma ili </w:t>
      </w:r>
    </w:p>
    <w:p w14:paraId="37A37051" w14:textId="77777777" w:rsidR="00D14BC0" w:rsidRPr="0032516D" w:rsidRDefault="00D14BC0" w:rsidP="00D14BC0">
      <w:pPr>
        <w:pStyle w:val="ListParagraph"/>
        <w:numPr>
          <w:ilvl w:val="1"/>
          <w:numId w:val="25"/>
        </w:numPr>
        <w:jc w:val="both"/>
        <w:rPr>
          <w:rFonts w:cs="Calibri"/>
        </w:rPr>
      </w:pPr>
      <w:r w:rsidRPr="0032516D">
        <w:rPr>
          <w:rFonts w:cs="Calibri"/>
        </w:rPr>
        <w:t>nedostavljanja jamstva za uredno ispunjenje ugovora o javnoj nabavi ili okvirnog sporazuma ako okvirni sporazum obvezuje na sklapanje i izvršenje</w:t>
      </w:r>
    </w:p>
    <w:p w14:paraId="141899F0" w14:textId="77777777" w:rsidR="00D14BC0" w:rsidRPr="005B08C0" w:rsidRDefault="00D14BC0" w:rsidP="00D14BC0">
      <w:pPr>
        <w:jc w:val="both"/>
        <w:rPr>
          <w:rFonts w:ascii="Calibri" w:hAnsi="Calibri" w:cs="Calibri"/>
        </w:rPr>
      </w:pPr>
      <w:r w:rsidRPr="005B08C0">
        <w:rPr>
          <w:rFonts w:ascii="Calibri" w:hAnsi="Calibri" w:cs="Calibri"/>
        </w:rPr>
        <w:t>Jamstvo se dostavlja u obliku:</w:t>
      </w:r>
    </w:p>
    <w:p w14:paraId="0ED63CBF" w14:textId="77777777" w:rsidR="00D14BC0" w:rsidRPr="005B08C0" w:rsidRDefault="00D14BC0" w:rsidP="00D14BC0">
      <w:pPr>
        <w:pStyle w:val="ListParagraph"/>
        <w:numPr>
          <w:ilvl w:val="0"/>
          <w:numId w:val="26"/>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4BE51379" w14:textId="77777777" w:rsidR="00D14BC0" w:rsidRPr="005B08C0" w:rsidRDefault="00D14BC0" w:rsidP="00D14BC0">
      <w:pPr>
        <w:pStyle w:val="ListParagraph"/>
        <w:numPr>
          <w:ilvl w:val="0"/>
          <w:numId w:val="26"/>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2E28E99E" w14:textId="77777777" w:rsidR="00D14BC0" w:rsidRPr="005B08C0" w:rsidRDefault="00D14BC0" w:rsidP="00D14BC0">
      <w:pPr>
        <w:pStyle w:val="ListParagraph"/>
        <w:numPr>
          <w:ilvl w:val="0"/>
          <w:numId w:val="26"/>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72971203" w14:textId="77777777" w:rsidR="00D14BC0" w:rsidRPr="00C123F7" w:rsidRDefault="00D14BC0" w:rsidP="00D14BC0">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 xml:space="preserve">u izvorniku, a način dostave jamstva propisan je ovom Dokumentacijom: </w:t>
      </w:r>
      <w:r w:rsidRPr="00C123F7">
        <w:rPr>
          <w:rFonts w:ascii="Calibri" w:hAnsi="Calibri" w:cs="Calibri"/>
          <w:b/>
          <w:i/>
        </w:rPr>
        <w:t>Dostava dijela/ dijelova ponude u zatvorenoj omotnici</w:t>
      </w:r>
      <w:r w:rsidRPr="00C123F7">
        <w:rPr>
          <w:rFonts w:ascii="Calibri" w:hAnsi="Calibri" w:cs="Calibri"/>
        </w:rPr>
        <w:t>.</w:t>
      </w:r>
    </w:p>
    <w:p w14:paraId="586D8C09" w14:textId="4C822B5B" w:rsidR="00D14BC0" w:rsidRDefault="00D14BC0" w:rsidP="00D14BC0">
      <w:pPr>
        <w:jc w:val="both"/>
        <w:rPr>
          <w:rFonts w:ascii="Calibri" w:hAnsi="Calibri" w:cs="Calibri"/>
        </w:rPr>
      </w:pPr>
      <w:r w:rsidRPr="00C123F7">
        <w:rPr>
          <w:rFonts w:ascii="Calibri" w:hAnsi="Calibri" w:cs="Calibri"/>
        </w:rPr>
        <w:t>Ponuditelj može skenirano jamstvo za ozbiljnost ponude priložiti ponudi.</w:t>
      </w:r>
    </w:p>
    <w:p w14:paraId="5FDEC3DA" w14:textId="627F810B" w:rsidR="003A1195" w:rsidRPr="00CE2F80" w:rsidRDefault="00D14BC0" w:rsidP="00CE2F80">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lastRenderedPageBreak/>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6AE8DBC2" w14:textId="51A838AC" w:rsidR="00B63563" w:rsidRDefault="00B63563" w:rsidP="00D14BC0">
      <w:pPr>
        <w:pStyle w:val="ListParagraph"/>
        <w:numPr>
          <w:ilvl w:val="0"/>
          <w:numId w:val="32"/>
        </w:numPr>
        <w:jc w:val="both"/>
        <w:rPr>
          <w:rFonts w:cstheme="minorHAnsi"/>
        </w:rPr>
      </w:pPr>
      <w:r>
        <w:rPr>
          <w:rFonts w:cstheme="minorHAnsi"/>
        </w:rPr>
        <w:t>Računalo stavka 1. troškovnika</w:t>
      </w:r>
      <w:r w:rsidR="00F9779D">
        <w:rPr>
          <w:rFonts w:cstheme="minorHAnsi"/>
        </w:rPr>
        <w:t xml:space="preserve"> (Grupa 1)</w:t>
      </w:r>
      <w:r>
        <w:rPr>
          <w:rFonts w:cstheme="minorHAnsi"/>
        </w:rPr>
        <w:t>, jamstveni rok minimalno 3 godine</w:t>
      </w:r>
    </w:p>
    <w:p w14:paraId="3D92F002" w14:textId="54A1F9A3" w:rsidR="00C05C89" w:rsidRPr="00D14BC0" w:rsidRDefault="00C05C89" w:rsidP="00D14BC0">
      <w:pPr>
        <w:pStyle w:val="ListParagraph"/>
        <w:numPr>
          <w:ilvl w:val="0"/>
          <w:numId w:val="32"/>
        </w:numPr>
        <w:jc w:val="both"/>
        <w:rPr>
          <w:rFonts w:cstheme="minorHAnsi"/>
        </w:rPr>
      </w:pPr>
      <w:r>
        <w:rPr>
          <w:rFonts w:cstheme="minorHAnsi"/>
        </w:rPr>
        <w:t>Računalo stavka 2. troškovnika (Grupa 2), jamstveni rok minimalno 3 godine</w:t>
      </w:r>
    </w:p>
    <w:p w14:paraId="02438F7A" w14:textId="4D0868A3" w:rsidR="00B63563" w:rsidRDefault="00B63563" w:rsidP="00B63563">
      <w:pPr>
        <w:pStyle w:val="ListParagraph"/>
        <w:numPr>
          <w:ilvl w:val="0"/>
          <w:numId w:val="32"/>
        </w:numPr>
        <w:jc w:val="both"/>
        <w:rPr>
          <w:rFonts w:cstheme="minorHAnsi"/>
        </w:rPr>
      </w:pPr>
      <w:r>
        <w:rPr>
          <w:rFonts w:cstheme="minorHAnsi"/>
        </w:rPr>
        <w:t>Monitor</w:t>
      </w:r>
      <w:r w:rsidR="00F9779D">
        <w:rPr>
          <w:rFonts w:cstheme="minorHAnsi"/>
        </w:rPr>
        <w:t xml:space="preserve"> (Grupa 1)</w:t>
      </w:r>
      <w:r>
        <w:rPr>
          <w:rFonts w:cstheme="minorHAnsi"/>
        </w:rPr>
        <w:t>, jamstveni rok minimalno 2 godine</w:t>
      </w:r>
    </w:p>
    <w:p w14:paraId="56A30FB1" w14:textId="3D328D30" w:rsidR="00C05C89" w:rsidRPr="00FB043B" w:rsidRDefault="00C05C89" w:rsidP="00B63563">
      <w:pPr>
        <w:pStyle w:val="ListParagraph"/>
        <w:numPr>
          <w:ilvl w:val="0"/>
          <w:numId w:val="32"/>
        </w:numPr>
        <w:jc w:val="both"/>
        <w:rPr>
          <w:rFonts w:cstheme="minorHAnsi"/>
        </w:rPr>
      </w:pPr>
      <w:r>
        <w:rPr>
          <w:rFonts w:cstheme="minorHAnsi"/>
        </w:rPr>
        <w:t>Monitor</w:t>
      </w:r>
      <w:r w:rsidR="00D67E61">
        <w:rPr>
          <w:rFonts w:cstheme="minorHAnsi"/>
        </w:rPr>
        <w:t xml:space="preserve"> (Grupa 1), jamstveni rok minimalno 3 godine</w:t>
      </w:r>
    </w:p>
    <w:p w14:paraId="74E3E14E" w14:textId="6614EF59" w:rsidR="00B63563" w:rsidRDefault="00B63563" w:rsidP="00B63563">
      <w:pPr>
        <w:pStyle w:val="ListParagraph"/>
        <w:numPr>
          <w:ilvl w:val="0"/>
          <w:numId w:val="32"/>
        </w:numPr>
        <w:jc w:val="both"/>
        <w:rPr>
          <w:rFonts w:cstheme="minorHAnsi"/>
        </w:rPr>
      </w:pPr>
      <w:r>
        <w:rPr>
          <w:rFonts w:cstheme="minorHAnsi"/>
        </w:rPr>
        <w:t>Pisač</w:t>
      </w:r>
      <w:r w:rsidR="00F9779D">
        <w:rPr>
          <w:rFonts w:cstheme="minorHAnsi"/>
        </w:rPr>
        <w:t xml:space="preserve"> (Grupa 1)</w:t>
      </w:r>
      <w:r>
        <w:rPr>
          <w:rFonts w:cstheme="minorHAnsi"/>
        </w:rPr>
        <w:t>, jamstveni rok minimalno 1 godina</w:t>
      </w:r>
    </w:p>
    <w:p w14:paraId="4C2F1441" w14:textId="031AF5F5" w:rsidR="00D67E61" w:rsidRPr="00FB043B" w:rsidRDefault="00D67E61" w:rsidP="00B63563">
      <w:pPr>
        <w:pStyle w:val="ListParagraph"/>
        <w:numPr>
          <w:ilvl w:val="0"/>
          <w:numId w:val="32"/>
        </w:numPr>
        <w:jc w:val="both"/>
        <w:rPr>
          <w:rFonts w:cstheme="minorHAnsi"/>
        </w:rPr>
      </w:pPr>
      <w:r>
        <w:rPr>
          <w:rFonts w:cstheme="minorHAnsi"/>
        </w:rPr>
        <w:t>Mrežni preklopnik, minimalno ograničeno doživotno jamstvo</w:t>
      </w:r>
    </w:p>
    <w:p w14:paraId="6547710F" w14:textId="3C98B40D" w:rsidR="00B63563" w:rsidRDefault="00B63563" w:rsidP="00B63563">
      <w:pPr>
        <w:pStyle w:val="ListParagraph"/>
        <w:numPr>
          <w:ilvl w:val="0"/>
          <w:numId w:val="32"/>
        </w:numPr>
        <w:tabs>
          <w:tab w:val="left" w:pos="2694"/>
        </w:tabs>
        <w:jc w:val="both"/>
        <w:rPr>
          <w:rFonts w:cstheme="minorHAnsi"/>
        </w:rPr>
      </w:pPr>
      <w:r>
        <w:rPr>
          <w:rFonts w:cstheme="minorHAnsi"/>
        </w:rPr>
        <w:t>Tipkovnica + miš</w:t>
      </w:r>
      <w:r w:rsidR="00F9779D">
        <w:rPr>
          <w:rFonts w:cstheme="minorHAnsi"/>
        </w:rPr>
        <w:t xml:space="preserve"> (Grupa 1)</w:t>
      </w:r>
      <w:r>
        <w:rPr>
          <w:rFonts w:cstheme="minorHAnsi"/>
        </w:rPr>
        <w:t>, hrvatsko znakovlje, jamstveni rok minimalno 3 godine</w:t>
      </w:r>
    </w:p>
    <w:p w14:paraId="1E17DCB9" w14:textId="773A56DD" w:rsidR="0040377E" w:rsidRPr="00F27030" w:rsidRDefault="0040377E" w:rsidP="00B63563">
      <w:pPr>
        <w:pStyle w:val="ListParagraph"/>
        <w:numPr>
          <w:ilvl w:val="0"/>
          <w:numId w:val="32"/>
        </w:numPr>
        <w:tabs>
          <w:tab w:val="left" w:pos="2694"/>
        </w:tabs>
        <w:jc w:val="both"/>
        <w:rPr>
          <w:rFonts w:cstheme="minorHAnsi"/>
        </w:rPr>
      </w:pPr>
      <w:r>
        <w:rPr>
          <w:rFonts w:cstheme="minorHAnsi"/>
        </w:rPr>
        <w:t>Pisači crtičnog koda (Grupa 2), jamstveni rok minimalno 2 godine</w:t>
      </w:r>
    </w:p>
    <w:p w14:paraId="00C949CF" w14:textId="77777777" w:rsidR="00B63563" w:rsidRPr="004B0EEF" w:rsidRDefault="00B63563" w:rsidP="00B63563">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45213941" w14:textId="77777777" w:rsidR="00B63563" w:rsidRPr="004B0EEF" w:rsidRDefault="00B63563" w:rsidP="00B6356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69E4F27" w14:textId="77777777" w:rsidR="00B63563" w:rsidRPr="004B0EEF" w:rsidRDefault="00B63563" w:rsidP="00B63563">
      <w:pPr>
        <w:jc w:val="both"/>
        <w:rPr>
          <w:rFonts w:cstheme="minorHAnsi"/>
        </w:rPr>
      </w:pPr>
      <w:r w:rsidRPr="004B0EEF">
        <w:rPr>
          <w:rFonts w:cstheme="minorHAnsi"/>
        </w:rPr>
        <w:t>Jamstvo se dostavlja u obliku:</w:t>
      </w:r>
    </w:p>
    <w:p w14:paraId="224F569F" w14:textId="77777777" w:rsidR="00B63563" w:rsidRPr="004B0EEF" w:rsidRDefault="00B63563" w:rsidP="00B6356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8BAE83A" w14:textId="77777777" w:rsidR="00B63563" w:rsidRPr="004B0EEF" w:rsidRDefault="00B63563" w:rsidP="00B6356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56BEA71" w14:textId="77777777" w:rsidR="00B63563" w:rsidRPr="00A13AF9" w:rsidRDefault="00B63563" w:rsidP="00B6356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680D9DB5" w14:textId="77777777" w:rsidR="00B63563" w:rsidRDefault="00B63563" w:rsidP="00B6356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5B4F09D" w14:textId="0192F4F0" w:rsidR="00B63563" w:rsidRDefault="00B63563" w:rsidP="000B1CBE">
      <w:pPr>
        <w:jc w:val="both"/>
        <w:rPr>
          <w:rFonts w:cstheme="minorHAnsi"/>
        </w:rPr>
      </w:pPr>
    </w:p>
    <w:p w14:paraId="7DCB5029" w14:textId="6C54691E" w:rsidR="00A51433" w:rsidRDefault="00A51433" w:rsidP="000B1CBE">
      <w:pPr>
        <w:jc w:val="both"/>
        <w:rPr>
          <w:rFonts w:cstheme="minorHAnsi"/>
        </w:rPr>
      </w:pPr>
    </w:p>
    <w:p w14:paraId="7D51A7B2" w14:textId="28169DA9" w:rsidR="0040377E" w:rsidRDefault="0040377E" w:rsidP="000B1CBE">
      <w:pPr>
        <w:jc w:val="both"/>
        <w:rPr>
          <w:rFonts w:cstheme="minorHAnsi"/>
        </w:rPr>
      </w:pPr>
    </w:p>
    <w:p w14:paraId="06AB223B" w14:textId="350D041A" w:rsidR="0040377E" w:rsidRDefault="0040377E" w:rsidP="000B1CBE">
      <w:pPr>
        <w:jc w:val="both"/>
        <w:rPr>
          <w:rFonts w:cstheme="minorHAnsi"/>
        </w:rPr>
      </w:pPr>
    </w:p>
    <w:p w14:paraId="4F632F50" w14:textId="6E76DDF2" w:rsidR="0040377E" w:rsidRDefault="0040377E" w:rsidP="000B1CBE">
      <w:pPr>
        <w:jc w:val="both"/>
        <w:rPr>
          <w:rFonts w:cstheme="minorHAnsi"/>
        </w:rPr>
      </w:pPr>
    </w:p>
    <w:p w14:paraId="612D70CB" w14:textId="77777777" w:rsidR="0040377E" w:rsidRPr="000B1CBE" w:rsidRDefault="0040377E" w:rsidP="000B1CBE">
      <w:pPr>
        <w:jc w:val="both"/>
        <w:rPr>
          <w:rFonts w:cstheme="minorHAnsi"/>
        </w:rPr>
      </w:pPr>
    </w:p>
    <w:p w14:paraId="755D6139" w14:textId="77777777" w:rsidR="001A793F" w:rsidRPr="00D37ACF" w:rsidRDefault="001A793F" w:rsidP="001A793F">
      <w:pPr>
        <w:pStyle w:val="Style1"/>
        <w:ind w:hanging="720"/>
        <w:rPr>
          <w:sz w:val="32"/>
        </w:rPr>
      </w:pPr>
      <w:bookmarkStart w:id="61" w:name="_Toc64015531"/>
      <w:r w:rsidRPr="00D37ACF">
        <w:rPr>
          <w:sz w:val="32"/>
        </w:rPr>
        <w:lastRenderedPageBreak/>
        <w:t>Prilog 1 – Ponudbeni list</w:t>
      </w:r>
      <w:bookmarkEnd w:id="61"/>
      <w:r w:rsidRPr="00D37ACF">
        <w:rPr>
          <w:sz w:val="32"/>
        </w:rPr>
        <w:tab/>
        <w:t xml:space="preserve">                                                      </w:t>
      </w:r>
    </w:p>
    <w:p w14:paraId="1A67BCE6" w14:textId="77777777" w:rsidR="001A793F" w:rsidRPr="00D37ACF" w:rsidRDefault="001A793F" w:rsidP="001A793F">
      <w:pPr>
        <w:pStyle w:val="Azrastil"/>
        <w:rPr>
          <w:rFonts w:cs="Times New Roman"/>
          <w:szCs w:val="20"/>
        </w:rPr>
      </w:pPr>
      <w:r w:rsidRPr="00D37ACF">
        <w:rPr>
          <w:rFonts w:cs="Times New Roman"/>
          <w:b/>
          <w:bCs/>
          <w:szCs w:val="20"/>
        </w:rPr>
        <w:t xml:space="preserve"> </w:t>
      </w:r>
    </w:p>
    <w:p w14:paraId="18C67A54" w14:textId="71ACD895"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Pr>
          <w:b/>
          <w:sz w:val="20"/>
          <w:szCs w:val="20"/>
        </w:rPr>
        <w:t>Računalna oprema</w:t>
      </w:r>
      <w:r w:rsidRPr="009B4496">
        <w:rPr>
          <w:b/>
          <w:sz w:val="20"/>
          <w:szCs w:val="20"/>
        </w:rPr>
        <w:t xml:space="preserve">, Ev.broj: </w:t>
      </w:r>
      <w:r>
        <w:rPr>
          <w:b/>
          <w:sz w:val="20"/>
          <w:szCs w:val="20"/>
        </w:rPr>
        <w:t>24</w:t>
      </w:r>
      <w:r w:rsidRPr="009B4496">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BB0D77"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26B5BD44" w14:textId="77777777" w:rsidR="001A793F" w:rsidRPr="00FB1740" w:rsidRDefault="001A793F" w:rsidP="001A793F">
      <w:pPr>
        <w:pStyle w:val="Azrastil"/>
        <w:rPr>
          <w:b/>
          <w:bCs/>
          <w:sz w:val="12"/>
          <w:szCs w:val="20"/>
        </w:rPr>
      </w:pP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02C5F366" w:rsidR="001A793F" w:rsidRPr="00FB1740" w:rsidRDefault="001A793F" w:rsidP="001A793F">
      <w:pPr>
        <w:pStyle w:val="Azrastil"/>
        <w:rPr>
          <w:sz w:val="20"/>
          <w:szCs w:val="20"/>
        </w:rPr>
      </w:pPr>
      <w:r w:rsidRPr="00FB1740">
        <w:rPr>
          <w:sz w:val="20"/>
          <w:szCs w:val="20"/>
        </w:rPr>
        <w:t>U  ________________</w:t>
      </w:r>
      <w:r>
        <w:rPr>
          <w:sz w:val="20"/>
          <w:szCs w:val="20"/>
        </w:rPr>
        <w:t>____________,  ____________ 2021</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4B162BB" w:rsidR="007A03CA" w:rsidRDefault="007A03CA">
        <w:pPr>
          <w:pStyle w:val="Footer"/>
          <w:jc w:val="center"/>
        </w:pPr>
        <w:r>
          <w:fldChar w:fldCharType="begin"/>
        </w:r>
        <w:r>
          <w:instrText xml:space="preserve"> PAGE   \* MERGEFORMAT </w:instrText>
        </w:r>
        <w:r>
          <w:fldChar w:fldCharType="separate"/>
        </w:r>
        <w:r w:rsidR="00BB0D77">
          <w:rPr>
            <w:noProof/>
          </w:rPr>
          <w:t>9</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9"/>
  </w:num>
  <w:num w:numId="5">
    <w:abstractNumId w:val="2"/>
  </w:num>
  <w:num w:numId="6">
    <w:abstractNumId w:val="21"/>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9"/>
  </w:num>
  <w:num w:numId="15">
    <w:abstractNumId w:val="30"/>
  </w:num>
  <w:num w:numId="16">
    <w:abstractNumId w:val="27"/>
  </w:num>
  <w:num w:numId="17">
    <w:abstractNumId w:val="26"/>
  </w:num>
  <w:num w:numId="18">
    <w:abstractNumId w:val="8"/>
  </w:num>
  <w:num w:numId="19">
    <w:abstractNumId w:val="23"/>
  </w:num>
  <w:num w:numId="20">
    <w:abstractNumId w:val="1"/>
  </w:num>
  <w:num w:numId="21">
    <w:abstractNumId w:val="11"/>
  </w:num>
  <w:num w:numId="22">
    <w:abstractNumId w:val="14"/>
  </w:num>
  <w:num w:numId="23">
    <w:abstractNumId w:val="22"/>
  </w:num>
  <w:num w:numId="24">
    <w:abstractNumId w:val="5"/>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20"/>
  </w:num>
  <w:num w:numId="32">
    <w:abstractNumId w:val="12"/>
  </w:num>
  <w:num w:numId="33">
    <w:abstractNumId w:val="4"/>
  </w:num>
  <w:num w:numId="3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C7524"/>
    <w:rsid w:val="00ED492F"/>
    <w:rsid w:val="00EF694E"/>
    <w:rsid w:val="00F170AC"/>
    <w:rsid w:val="00F42581"/>
    <w:rsid w:val="00F551E5"/>
    <w:rsid w:val="00F63C14"/>
    <w:rsid w:val="00F775ED"/>
    <w:rsid w:val="00F9520A"/>
    <w:rsid w:val="00F9779D"/>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C715D-FFBF-42A0-96C0-C0009504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13</Pages>
  <Words>4205</Words>
  <Characters>23970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227</cp:revision>
  <cp:lastPrinted>2020-06-04T06:10:00Z</cp:lastPrinted>
  <dcterms:created xsi:type="dcterms:W3CDTF">2020-02-07T08:43:00Z</dcterms:created>
  <dcterms:modified xsi:type="dcterms:W3CDTF">2021-04-29T06:30:00Z</dcterms:modified>
</cp:coreProperties>
</file>