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821E0A" w:rsidRDefault="00821E0A"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821E0A" w:rsidRDefault="00821E0A"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" filled="f" stroked="f">
                    <v:textbox>
                      <w:txbxContent>
                        <w:p w14:paraId="38B03767" w14:textId="77777777" w:rsidR="00821E0A" w:rsidRDefault="00821E0A" w:rsidP="003C44D0"/>
                      </w:txbxContent>
                    </v:textbox>
                  </v:shape>
                  <v:line id="Line 6" o:spid="_x0000_s1029" style="position:absolute;visibility:visible;mso-wrap-style:square" from="822,3862" to="11262,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shape id="Text Box 7" o:spid="_x0000_s1030" type="#_x0000_t202" style="position:absolute;left:5040;top:722;width:2340;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B154A8E" w14:textId="77777777" w:rsidR="00821E0A" w:rsidRDefault="00821E0A"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09F6BAC1"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613A2D">
        <w:rPr>
          <w:rFonts w:cs="Tahoma"/>
          <w:sz w:val="32"/>
        </w:rPr>
        <w:t>e: Održavanje agregata</w:t>
      </w:r>
    </w:p>
    <w:p w14:paraId="6D290A34" w14:textId="7C03F847"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613A2D">
        <w:rPr>
          <w:rFonts w:cs="Tahoma"/>
          <w:sz w:val="32"/>
        </w:rPr>
        <w:t>18</w:t>
      </w:r>
      <w:r w:rsidR="007A03CA">
        <w:rPr>
          <w:rFonts w:cs="Tahoma"/>
          <w:sz w:val="32"/>
        </w:rPr>
        <w:t>/2021</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77777777" w:rsidR="004C7286" w:rsidRPr="00D37ACF" w:rsidRDefault="004C7286" w:rsidP="00AB2FDA">
      <w:pPr>
        <w:pStyle w:val="Azrastil"/>
        <w:rPr>
          <w:rFonts w:cs="Tahoma"/>
          <w:sz w:val="32"/>
        </w:rPr>
      </w:pP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5A052B60" w:rsidR="004C7286" w:rsidRPr="00D37ACF" w:rsidRDefault="004C7286" w:rsidP="00AB2FDA">
      <w:pPr>
        <w:pStyle w:val="Azrastil"/>
        <w:rPr>
          <w:rFonts w:cs="Tahoma"/>
          <w:sz w:val="32"/>
        </w:rPr>
      </w:pPr>
      <w:r w:rsidRPr="00D37ACF">
        <w:rPr>
          <w:rFonts w:cs="Tahoma"/>
          <w:sz w:val="32"/>
        </w:rPr>
        <w:t xml:space="preserve">U.br. </w:t>
      </w:r>
      <w:r w:rsidR="00BD4D12">
        <w:rPr>
          <w:rFonts w:cs="Tahoma"/>
          <w:sz w:val="32"/>
        </w:rPr>
        <w:t>01-505</w:t>
      </w:r>
      <w:r w:rsidR="002E0596">
        <w:rPr>
          <w:rFonts w:cs="Tahoma"/>
          <w:sz w:val="32"/>
        </w:rPr>
        <w:t>-2-2021</w:t>
      </w:r>
    </w:p>
    <w:p w14:paraId="17D96310" w14:textId="543E704A" w:rsidR="003C4578" w:rsidRPr="007A03CA" w:rsidRDefault="00BD4D12" w:rsidP="007A03CA">
      <w:pPr>
        <w:pStyle w:val="Azrastil"/>
        <w:rPr>
          <w:rFonts w:cs="Tahoma"/>
          <w:sz w:val="32"/>
        </w:rPr>
      </w:pPr>
      <w:r>
        <w:rPr>
          <w:rFonts w:cs="Tahoma"/>
          <w:sz w:val="32"/>
        </w:rPr>
        <w:t>Zagreb, travanj</w:t>
      </w:r>
      <w:r w:rsidR="00F551E5" w:rsidRPr="00D37ACF">
        <w:rPr>
          <w:rFonts w:cs="Tahoma"/>
          <w:sz w:val="32"/>
        </w:rPr>
        <w:t xml:space="preserve"> </w:t>
      </w:r>
      <w:r w:rsidR="007A03CA">
        <w:rPr>
          <w:rFonts w:cs="Tahoma"/>
          <w:sz w:val="32"/>
        </w:rPr>
        <w:t>2021</w:t>
      </w:r>
      <w:r w:rsidR="004C7286" w:rsidRPr="00D37ACF">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7BD675E1" w14:textId="7CF2C3E0" w:rsidR="00C1715F"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69823163" w:history="1">
            <w:r w:rsidR="00C1715F" w:rsidRPr="00490523">
              <w:rPr>
                <w:rStyle w:val="Hyperlink"/>
                <w:noProof/>
              </w:rPr>
              <w:t>1.</w:t>
            </w:r>
            <w:r w:rsidR="00C1715F">
              <w:rPr>
                <w:rFonts w:eastAsiaTheme="minorEastAsia"/>
                <w:noProof/>
                <w:lang w:eastAsia="hr-HR"/>
              </w:rPr>
              <w:tab/>
            </w:r>
            <w:r w:rsidR="00C1715F" w:rsidRPr="00490523">
              <w:rPr>
                <w:rStyle w:val="Hyperlink"/>
                <w:noProof/>
              </w:rPr>
              <w:t>Podaci o Naručitelju</w:t>
            </w:r>
            <w:r w:rsidR="00C1715F">
              <w:rPr>
                <w:noProof/>
                <w:webHidden/>
              </w:rPr>
              <w:tab/>
            </w:r>
            <w:r w:rsidR="00C1715F">
              <w:rPr>
                <w:noProof/>
                <w:webHidden/>
              </w:rPr>
              <w:fldChar w:fldCharType="begin"/>
            </w:r>
            <w:r w:rsidR="00C1715F">
              <w:rPr>
                <w:noProof/>
                <w:webHidden/>
              </w:rPr>
              <w:instrText xml:space="preserve"> PAGEREF _Toc69823163 \h </w:instrText>
            </w:r>
            <w:r w:rsidR="00C1715F">
              <w:rPr>
                <w:noProof/>
                <w:webHidden/>
              </w:rPr>
            </w:r>
            <w:r w:rsidR="00C1715F">
              <w:rPr>
                <w:noProof/>
                <w:webHidden/>
              </w:rPr>
              <w:fldChar w:fldCharType="separate"/>
            </w:r>
            <w:r w:rsidR="00C1715F">
              <w:rPr>
                <w:noProof/>
                <w:webHidden/>
              </w:rPr>
              <w:t>3</w:t>
            </w:r>
            <w:r w:rsidR="00C1715F">
              <w:rPr>
                <w:noProof/>
                <w:webHidden/>
              </w:rPr>
              <w:fldChar w:fldCharType="end"/>
            </w:r>
          </w:hyperlink>
        </w:p>
        <w:p w14:paraId="6D7536D7" w14:textId="7E5EA4A6" w:rsidR="00C1715F" w:rsidRDefault="00C1715F">
          <w:pPr>
            <w:pStyle w:val="TOC1"/>
            <w:rPr>
              <w:rFonts w:eastAsiaTheme="minorEastAsia"/>
              <w:noProof/>
              <w:lang w:eastAsia="hr-HR"/>
            </w:rPr>
          </w:pPr>
          <w:hyperlink w:anchor="_Toc69823164" w:history="1">
            <w:r w:rsidRPr="00490523">
              <w:rPr>
                <w:rStyle w:val="Hyperlink"/>
                <w:noProof/>
              </w:rPr>
              <w:t>2.</w:t>
            </w:r>
            <w:r>
              <w:rPr>
                <w:rFonts w:eastAsiaTheme="minorEastAsia"/>
                <w:noProof/>
                <w:lang w:eastAsia="hr-HR"/>
              </w:rPr>
              <w:tab/>
            </w:r>
            <w:r w:rsidRPr="00490523">
              <w:rPr>
                <w:rStyle w:val="Hyperlink"/>
                <w:noProof/>
              </w:rPr>
              <w:t>Podaci o osobi zaduženoj za kontakt</w:t>
            </w:r>
            <w:r>
              <w:rPr>
                <w:noProof/>
                <w:webHidden/>
              </w:rPr>
              <w:tab/>
            </w:r>
            <w:r>
              <w:rPr>
                <w:noProof/>
                <w:webHidden/>
              </w:rPr>
              <w:fldChar w:fldCharType="begin"/>
            </w:r>
            <w:r>
              <w:rPr>
                <w:noProof/>
                <w:webHidden/>
              </w:rPr>
              <w:instrText xml:space="preserve"> PAGEREF _Toc69823164 \h </w:instrText>
            </w:r>
            <w:r>
              <w:rPr>
                <w:noProof/>
                <w:webHidden/>
              </w:rPr>
            </w:r>
            <w:r>
              <w:rPr>
                <w:noProof/>
                <w:webHidden/>
              </w:rPr>
              <w:fldChar w:fldCharType="separate"/>
            </w:r>
            <w:r>
              <w:rPr>
                <w:noProof/>
                <w:webHidden/>
              </w:rPr>
              <w:t>3</w:t>
            </w:r>
            <w:r>
              <w:rPr>
                <w:noProof/>
                <w:webHidden/>
              </w:rPr>
              <w:fldChar w:fldCharType="end"/>
            </w:r>
          </w:hyperlink>
        </w:p>
        <w:p w14:paraId="44C5CAEB" w14:textId="72B9635C" w:rsidR="00C1715F" w:rsidRDefault="00C1715F">
          <w:pPr>
            <w:pStyle w:val="TOC1"/>
            <w:rPr>
              <w:rFonts w:eastAsiaTheme="minorEastAsia"/>
              <w:noProof/>
              <w:lang w:eastAsia="hr-HR"/>
            </w:rPr>
          </w:pPr>
          <w:hyperlink w:anchor="_Toc69823165" w:history="1">
            <w:r w:rsidRPr="00490523">
              <w:rPr>
                <w:rStyle w:val="Hyperlink"/>
                <w:noProof/>
              </w:rPr>
              <w:t>3.</w:t>
            </w:r>
            <w:r>
              <w:rPr>
                <w:rFonts w:eastAsiaTheme="minorEastAsia"/>
                <w:noProof/>
                <w:lang w:eastAsia="hr-HR"/>
              </w:rPr>
              <w:tab/>
            </w:r>
            <w:r w:rsidRPr="00490523">
              <w:rPr>
                <w:rStyle w:val="Hyperlink"/>
                <w:noProof/>
              </w:rPr>
              <w:t>Podaci o postupku</w:t>
            </w:r>
            <w:r>
              <w:rPr>
                <w:noProof/>
                <w:webHidden/>
              </w:rPr>
              <w:tab/>
            </w:r>
            <w:r>
              <w:rPr>
                <w:noProof/>
                <w:webHidden/>
              </w:rPr>
              <w:fldChar w:fldCharType="begin"/>
            </w:r>
            <w:r>
              <w:rPr>
                <w:noProof/>
                <w:webHidden/>
              </w:rPr>
              <w:instrText xml:space="preserve"> PAGEREF _Toc69823165 \h </w:instrText>
            </w:r>
            <w:r>
              <w:rPr>
                <w:noProof/>
                <w:webHidden/>
              </w:rPr>
            </w:r>
            <w:r>
              <w:rPr>
                <w:noProof/>
                <w:webHidden/>
              </w:rPr>
              <w:fldChar w:fldCharType="separate"/>
            </w:r>
            <w:r>
              <w:rPr>
                <w:noProof/>
                <w:webHidden/>
              </w:rPr>
              <w:t>3</w:t>
            </w:r>
            <w:r>
              <w:rPr>
                <w:noProof/>
                <w:webHidden/>
              </w:rPr>
              <w:fldChar w:fldCharType="end"/>
            </w:r>
          </w:hyperlink>
        </w:p>
        <w:p w14:paraId="73067A1A" w14:textId="625BD47D" w:rsidR="00C1715F" w:rsidRDefault="00C1715F">
          <w:pPr>
            <w:pStyle w:val="TOC1"/>
            <w:rPr>
              <w:rFonts w:eastAsiaTheme="minorEastAsia"/>
              <w:noProof/>
              <w:lang w:eastAsia="hr-HR"/>
            </w:rPr>
          </w:pPr>
          <w:hyperlink w:anchor="_Toc69823166" w:history="1">
            <w:r w:rsidRPr="00490523">
              <w:rPr>
                <w:rStyle w:val="Hyperlink"/>
                <w:noProof/>
              </w:rPr>
              <w:t>4.</w:t>
            </w:r>
            <w:r>
              <w:rPr>
                <w:rFonts w:eastAsiaTheme="minorEastAsia"/>
                <w:noProof/>
                <w:lang w:eastAsia="hr-HR"/>
              </w:rPr>
              <w:tab/>
            </w:r>
            <w:r w:rsidRPr="00490523">
              <w:rPr>
                <w:rStyle w:val="Hyperlink"/>
                <w:noProof/>
              </w:rPr>
              <w:t>Podaci o predmetu nabave</w:t>
            </w:r>
            <w:r>
              <w:rPr>
                <w:noProof/>
                <w:webHidden/>
              </w:rPr>
              <w:tab/>
            </w:r>
            <w:r>
              <w:rPr>
                <w:noProof/>
                <w:webHidden/>
              </w:rPr>
              <w:fldChar w:fldCharType="begin"/>
            </w:r>
            <w:r>
              <w:rPr>
                <w:noProof/>
                <w:webHidden/>
              </w:rPr>
              <w:instrText xml:space="preserve"> PAGEREF _Toc69823166 \h </w:instrText>
            </w:r>
            <w:r>
              <w:rPr>
                <w:noProof/>
                <w:webHidden/>
              </w:rPr>
            </w:r>
            <w:r>
              <w:rPr>
                <w:noProof/>
                <w:webHidden/>
              </w:rPr>
              <w:fldChar w:fldCharType="separate"/>
            </w:r>
            <w:r>
              <w:rPr>
                <w:noProof/>
                <w:webHidden/>
              </w:rPr>
              <w:t>3</w:t>
            </w:r>
            <w:r>
              <w:rPr>
                <w:noProof/>
                <w:webHidden/>
              </w:rPr>
              <w:fldChar w:fldCharType="end"/>
            </w:r>
          </w:hyperlink>
        </w:p>
        <w:p w14:paraId="5A872464" w14:textId="12A69273" w:rsidR="00C1715F" w:rsidRDefault="00C1715F">
          <w:pPr>
            <w:pStyle w:val="TOC1"/>
            <w:rPr>
              <w:rFonts w:eastAsiaTheme="minorEastAsia"/>
              <w:noProof/>
              <w:lang w:eastAsia="hr-HR"/>
            </w:rPr>
          </w:pPr>
          <w:hyperlink w:anchor="_Toc69823167" w:history="1">
            <w:r w:rsidRPr="00490523">
              <w:rPr>
                <w:rStyle w:val="Hyperlink"/>
                <w:noProof/>
              </w:rPr>
              <w:t>5.</w:t>
            </w:r>
            <w:r>
              <w:rPr>
                <w:rFonts w:eastAsiaTheme="minorEastAsia"/>
                <w:noProof/>
                <w:lang w:eastAsia="hr-HR"/>
              </w:rPr>
              <w:tab/>
            </w:r>
            <w:r w:rsidRPr="00490523">
              <w:rPr>
                <w:rStyle w:val="Hyperlink"/>
                <w:noProof/>
              </w:rPr>
              <w:t>Osnove za isključenje i dokazi</w:t>
            </w:r>
            <w:r>
              <w:rPr>
                <w:noProof/>
                <w:webHidden/>
              </w:rPr>
              <w:tab/>
            </w:r>
            <w:r>
              <w:rPr>
                <w:noProof/>
                <w:webHidden/>
              </w:rPr>
              <w:fldChar w:fldCharType="begin"/>
            </w:r>
            <w:r>
              <w:rPr>
                <w:noProof/>
                <w:webHidden/>
              </w:rPr>
              <w:instrText xml:space="preserve"> PAGEREF _Toc69823167 \h </w:instrText>
            </w:r>
            <w:r>
              <w:rPr>
                <w:noProof/>
                <w:webHidden/>
              </w:rPr>
            </w:r>
            <w:r>
              <w:rPr>
                <w:noProof/>
                <w:webHidden/>
              </w:rPr>
              <w:fldChar w:fldCharType="separate"/>
            </w:r>
            <w:r>
              <w:rPr>
                <w:noProof/>
                <w:webHidden/>
              </w:rPr>
              <w:t>5</w:t>
            </w:r>
            <w:r>
              <w:rPr>
                <w:noProof/>
                <w:webHidden/>
              </w:rPr>
              <w:fldChar w:fldCharType="end"/>
            </w:r>
          </w:hyperlink>
        </w:p>
        <w:p w14:paraId="0D8BEE5E" w14:textId="658B8AE3" w:rsidR="00C1715F" w:rsidRDefault="00C1715F">
          <w:pPr>
            <w:pStyle w:val="TOC1"/>
            <w:rPr>
              <w:rFonts w:eastAsiaTheme="minorEastAsia"/>
              <w:noProof/>
              <w:lang w:eastAsia="hr-HR"/>
            </w:rPr>
          </w:pPr>
          <w:hyperlink w:anchor="_Toc69823168" w:history="1">
            <w:r w:rsidRPr="00490523">
              <w:rPr>
                <w:rStyle w:val="Hyperlink"/>
                <w:noProof/>
              </w:rPr>
              <w:t>6.</w:t>
            </w:r>
            <w:r>
              <w:rPr>
                <w:rFonts w:eastAsiaTheme="minorEastAsia"/>
                <w:noProof/>
                <w:lang w:eastAsia="hr-HR"/>
              </w:rPr>
              <w:tab/>
            </w:r>
            <w:r w:rsidRPr="00490523">
              <w:rPr>
                <w:rStyle w:val="Hyperlink"/>
                <w:noProof/>
              </w:rPr>
              <w:t>Odredbe o zajednici gospodarskih subjekata, podugovarateljima i oslanjanju na sposobnosti drugih gospodarskih subjekata</w:t>
            </w:r>
            <w:r>
              <w:rPr>
                <w:noProof/>
                <w:webHidden/>
              </w:rPr>
              <w:tab/>
            </w:r>
            <w:r>
              <w:rPr>
                <w:noProof/>
                <w:webHidden/>
              </w:rPr>
              <w:fldChar w:fldCharType="begin"/>
            </w:r>
            <w:r>
              <w:rPr>
                <w:noProof/>
                <w:webHidden/>
              </w:rPr>
              <w:instrText xml:space="preserve"> PAGEREF _Toc69823168 \h </w:instrText>
            </w:r>
            <w:r>
              <w:rPr>
                <w:noProof/>
                <w:webHidden/>
              </w:rPr>
            </w:r>
            <w:r>
              <w:rPr>
                <w:noProof/>
                <w:webHidden/>
              </w:rPr>
              <w:fldChar w:fldCharType="separate"/>
            </w:r>
            <w:r>
              <w:rPr>
                <w:noProof/>
                <w:webHidden/>
              </w:rPr>
              <w:t>6</w:t>
            </w:r>
            <w:r>
              <w:rPr>
                <w:noProof/>
                <w:webHidden/>
              </w:rPr>
              <w:fldChar w:fldCharType="end"/>
            </w:r>
          </w:hyperlink>
        </w:p>
        <w:p w14:paraId="4C443E0D" w14:textId="3153DD6C" w:rsidR="00C1715F" w:rsidRDefault="00C1715F">
          <w:pPr>
            <w:pStyle w:val="TOC1"/>
            <w:rPr>
              <w:rFonts w:eastAsiaTheme="minorEastAsia"/>
              <w:noProof/>
              <w:lang w:eastAsia="hr-HR"/>
            </w:rPr>
          </w:pPr>
          <w:hyperlink w:anchor="_Toc69823169" w:history="1">
            <w:r w:rsidRPr="00490523">
              <w:rPr>
                <w:rStyle w:val="Hyperlink"/>
                <w:noProof/>
              </w:rPr>
              <w:t>7.</w:t>
            </w:r>
            <w:r>
              <w:rPr>
                <w:rFonts w:eastAsiaTheme="minorEastAsia"/>
                <w:noProof/>
                <w:lang w:eastAsia="hr-HR"/>
              </w:rPr>
              <w:tab/>
            </w:r>
            <w:r w:rsidRPr="00490523">
              <w:rPr>
                <w:rStyle w:val="Hyperlink"/>
                <w:noProof/>
              </w:rPr>
              <w:t>Provjera ponuditelja</w:t>
            </w:r>
            <w:r>
              <w:rPr>
                <w:noProof/>
                <w:webHidden/>
              </w:rPr>
              <w:tab/>
            </w:r>
            <w:r>
              <w:rPr>
                <w:noProof/>
                <w:webHidden/>
              </w:rPr>
              <w:fldChar w:fldCharType="begin"/>
            </w:r>
            <w:r>
              <w:rPr>
                <w:noProof/>
                <w:webHidden/>
              </w:rPr>
              <w:instrText xml:space="preserve"> PAGEREF _Toc69823169 \h </w:instrText>
            </w:r>
            <w:r>
              <w:rPr>
                <w:noProof/>
                <w:webHidden/>
              </w:rPr>
            </w:r>
            <w:r>
              <w:rPr>
                <w:noProof/>
                <w:webHidden/>
              </w:rPr>
              <w:fldChar w:fldCharType="separate"/>
            </w:r>
            <w:r>
              <w:rPr>
                <w:noProof/>
                <w:webHidden/>
              </w:rPr>
              <w:t>7</w:t>
            </w:r>
            <w:r>
              <w:rPr>
                <w:noProof/>
                <w:webHidden/>
              </w:rPr>
              <w:fldChar w:fldCharType="end"/>
            </w:r>
          </w:hyperlink>
        </w:p>
        <w:p w14:paraId="710D5183" w14:textId="1300F3BC" w:rsidR="00C1715F" w:rsidRDefault="00C1715F">
          <w:pPr>
            <w:pStyle w:val="TOC1"/>
            <w:rPr>
              <w:rFonts w:eastAsiaTheme="minorEastAsia"/>
              <w:noProof/>
              <w:lang w:eastAsia="hr-HR"/>
            </w:rPr>
          </w:pPr>
          <w:hyperlink w:anchor="_Toc69823170" w:history="1">
            <w:r w:rsidRPr="00490523">
              <w:rPr>
                <w:rStyle w:val="Hyperlink"/>
                <w:noProof/>
              </w:rPr>
              <w:t>8.</w:t>
            </w:r>
            <w:r>
              <w:rPr>
                <w:rFonts w:eastAsiaTheme="minorEastAsia"/>
                <w:noProof/>
                <w:lang w:eastAsia="hr-HR"/>
              </w:rPr>
              <w:tab/>
            </w:r>
            <w:r w:rsidRPr="00490523">
              <w:rPr>
                <w:rStyle w:val="Hyperlink"/>
                <w:noProof/>
              </w:rPr>
              <w:t>VAŽNO! Sadržaj ponude</w:t>
            </w:r>
            <w:r>
              <w:rPr>
                <w:noProof/>
                <w:webHidden/>
              </w:rPr>
              <w:tab/>
            </w:r>
            <w:r>
              <w:rPr>
                <w:noProof/>
                <w:webHidden/>
              </w:rPr>
              <w:fldChar w:fldCharType="begin"/>
            </w:r>
            <w:r>
              <w:rPr>
                <w:noProof/>
                <w:webHidden/>
              </w:rPr>
              <w:instrText xml:space="preserve"> PAGEREF _Toc69823170 \h </w:instrText>
            </w:r>
            <w:r>
              <w:rPr>
                <w:noProof/>
                <w:webHidden/>
              </w:rPr>
            </w:r>
            <w:r>
              <w:rPr>
                <w:noProof/>
                <w:webHidden/>
              </w:rPr>
              <w:fldChar w:fldCharType="separate"/>
            </w:r>
            <w:r>
              <w:rPr>
                <w:noProof/>
                <w:webHidden/>
              </w:rPr>
              <w:t>7</w:t>
            </w:r>
            <w:r>
              <w:rPr>
                <w:noProof/>
                <w:webHidden/>
              </w:rPr>
              <w:fldChar w:fldCharType="end"/>
            </w:r>
          </w:hyperlink>
        </w:p>
        <w:p w14:paraId="26FCF1CC" w14:textId="2445EA67" w:rsidR="00C1715F" w:rsidRDefault="00C1715F">
          <w:pPr>
            <w:pStyle w:val="TOC1"/>
            <w:rPr>
              <w:rFonts w:eastAsiaTheme="minorEastAsia"/>
              <w:noProof/>
              <w:lang w:eastAsia="hr-HR"/>
            </w:rPr>
          </w:pPr>
          <w:hyperlink w:anchor="_Toc69823171" w:history="1">
            <w:r w:rsidRPr="00490523">
              <w:rPr>
                <w:rStyle w:val="Hyperlink"/>
                <w:noProof/>
              </w:rPr>
              <w:t>9.</w:t>
            </w:r>
            <w:r>
              <w:rPr>
                <w:rFonts w:eastAsiaTheme="minorEastAsia"/>
                <w:noProof/>
                <w:lang w:eastAsia="hr-HR"/>
              </w:rPr>
              <w:tab/>
            </w:r>
            <w:r w:rsidRPr="00490523">
              <w:rPr>
                <w:rStyle w:val="Hyperlink"/>
                <w:noProof/>
              </w:rPr>
              <w:t>Način određivanja cijene ponude</w:t>
            </w:r>
            <w:r>
              <w:rPr>
                <w:noProof/>
                <w:webHidden/>
              </w:rPr>
              <w:tab/>
            </w:r>
            <w:r>
              <w:rPr>
                <w:noProof/>
                <w:webHidden/>
              </w:rPr>
              <w:fldChar w:fldCharType="begin"/>
            </w:r>
            <w:r>
              <w:rPr>
                <w:noProof/>
                <w:webHidden/>
              </w:rPr>
              <w:instrText xml:space="preserve"> PAGEREF _Toc69823171 \h </w:instrText>
            </w:r>
            <w:r>
              <w:rPr>
                <w:noProof/>
                <w:webHidden/>
              </w:rPr>
            </w:r>
            <w:r>
              <w:rPr>
                <w:noProof/>
                <w:webHidden/>
              </w:rPr>
              <w:fldChar w:fldCharType="separate"/>
            </w:r>
            <w:r>
              <w:rPr>
                <w:noProof/>
                <w:webHidden/>
              </w:rPr>
              <w:t>7</w:t>
            </w:r>
            <w:r>
              <w:rPr>
                <w:noProof/>
                <w:webHidden/>
              </w:rPr>
              <w:fldChar w:fldCharType="end"/>
            </w:r>
          </w:hyperlink>
        </w:p>
        <w:p w14:paraId="50D4E577" w14:textId="3FD9342B" w:rsidR="00C1715F" w:rsidRDefault="00C1715F">
          <w:pPr>
            <w:pStyle w:val="TOC1"/>
            <w:rPr>
              <w:rFonts w:eastAsiaTheme="minorEastAsia"/>
              <w:noProof/>
              <w:lang w:eastAsia="hr-HR"/>
            </w:rPr>
          </w:pPr>
          <w:hyperlink w:anchor="_Toc69823172" w:history="1">
            <w:r w:rsidRPr="00490523">
              <w:rPr>
                <w:rStyle w:val="Hyperlink"/>
                <w:noProof/>
              </w:rPr>
              <w:t>10.</w:t>
            </w:r>
            <w:r>
              <w:rPr>
                <w:rFonts w:eastAsiaTheme="minorEastAsia"/>
                <w:noProof/>
                <w:lang w:eastAsia="hr-HR"/>
              </w:rPr>
              <w:tab/>
            </w:r>
            <w:r w:rsidRPr="00490523">
              <w:rPr>
                <w:rStyle w:val="Hyperlink"/>
                <w:noProof/>
              </w:rPr>
              <w:t>Način izrade i dostave ponude</w:t>
            </w:r>
            <w:r>
              <w:rPr>
                <w:noProof/>
                <w:webHidden/>
              </w:rPr>
              <w:tab/>
            </w:r>
            <w:r>
              <w:rPr>
                <w:noProof/>
                <w:webHidden/>
              </w:rPr>
              <w:fldChar w:fldCharType="begin"/>
            </w:r>
            <w:r>
              <w:rPr>
                <w:noProof/>
                <w:webHidden/>
              </w:rPr>
              <w:instrText xml:space="preserve"> PAGEREF _Toc69823172 \h </w:instrText>
            </w:r>
            <w:r>
              <w:rPr>
                <w:noProof/>
                <w:webHidden/>
              </w:rPr>
            </w:r>
            <w:r>
              <w:rPr>
                <w:noProof/>
                <w:webHidden/>
              </w:rPr>
              <w:fldChar w:fldCharType="separate"/>
            </w:r>
            <w:r>
              <w:rPr>
                <w:noProof/>
                <w:webHidden/>
              </w:rPr>
              <w:t>8</w:t>
            </w:r>
            <w:r>
              <w:rPr>
                <w:noProof/>
                <w:webHidden/>
              </w:rPr>
              <w:fldChar w:fldCharType="end"/>
            </w:r>
          </w:hyperlink>
        </w:p>
        <w:p w14:paraId="1273F594" w14:textId="32E36665" w:rsidR="00C1715F" w:rsidRDefault="00C1715F">
          <w:pPr>
            <w:pStyle w:val="TOC1"/>
            <w:rPr>
              <w:rFonts w:eastAsiaTheme="minorEastAsia"/>
              <w:noProof/>
              <w:lang w:eastAsia="hr-HR"/>
            </w:rPr>
          </w:pPr>
          <w:hyperlink w:anchor="_Toc69823173" w:history="1">
            <w:r w:rsidRPr="00490523">
              <w:rPr>
                <w:rStyle w:val="Hyperlink"/>
                <w:noProof/>
              </w:rPr>
              <w:t>11.</w:t>
            </w:r>
            <w:r>
              <w:rPr>
                <w:rFonts w:eastAsiaTheme="minorEastAsia"/>
                <w:noProof/>
                <w:lang w:eastAsia="hr-HR"/>
              </w:rPr>
              <w:tab/>
            </w:r>
            <w:r w:rsidRPr="00490523">
              <w:rPr>
                <w:rStyle w:val="Hyperlink"/>
                <w:noProof/>
              </w:rPr>
              <w:t>Rok valjanosti ponude</w:t>
            </w:r>
            <w:r>
              <w:rPr>
                <w:noProof/>
                <w:webHidden/>
              </w:rPr>
              <w:tab/>
            </w:r>
            <w:r>
              <w:rPr>
                <w:noProof/>
                <w:webHidden/>
              </w:rPr>
              <w:fldChar w:fldCharType="begin"/>
            </w:r>
            <w:r>
              <w:rPr>
                <w:noProof/>
                <w:webHidden/>
              </w:rPr>
              <w:instrText xml:space="preserve"> PAGEREF _Toc69823173 \h </w:instrText>
            </w:r>
            <w:r>
              <w:rPr>
                <w:noProof/>
                <w:webHidden/>
              </w:rPr>
            </w:r>
            <w:r>
              <w:rPr>
                <w:noProof/>
                <w:webHidden/>
              </w:rPr>
              <w:fldChar w:fldCharType="separate"/>
            </w:r>
            <w:r>
              <w:rPr>
                <w:noProof/>
                <w:webHidden/>
              </w:rPr>
              <w:t>9</w:t>
            </w:r>
            <w:r>
              <w:rPr>
                <w:noProof/>
                <w:webHidden/>
              </w:rPr>
              <w:fldChar w:fldCharType="end"/>
            </w:r>
          </w:hyperlink>
        </w:p>
        <w:p w14:paraId="05A0DF19" w14:textId="467C6AA3" w:rsidR="00C1715F" w:rsidRDefault="00C1715F">
          <w:pPr>
            <w:pStyle w:val="TOC1"/>
            <w:rPr>
              <w:rFonts w:eastAsiaTheme="minorEastAsia"/>
              <w:noProof/>
              <w:lang w:eastAsia="hr-HR"/>
            </w:rPr>
          </w:pPr>
          <w:hyperlink w:anchor="_Toc69823174" w:history="1">
            <w:r w:rsidRPr="00490523">
              <w:rPr>
                <w:rStyle w:val="Hyperlink"/>
                <w:noProof/>
              </w:rPr>
              <w:t>12.</w:t>
            </w:r>
            <w:r>
              <w:rPr>
                <w:rFonts w:eastAsiaTheme="minorEastAsia"/>
                <w:noProof/>
                <w:lang w:eastAsia="hr-HR"/>
              </w:rPr>
              <w:tab/>
            </w:r>
            <w:r w:rsidRPr="00490523">
              <w:rPr>
                <w:rStyle w:val="Hyperlink"/>
                <w:noProof/>
              </w:rPr>
              <w:t>Rok za dostavu ponuda</w:t>
            </w:r>
            <w:r>
              <w:rPr>
                <w:noProof/>
                <w:webHidden/>
              </w:rPr>
              <w:tab/>
            </w:r>
            <w:r>
              <w:rPr>
                <w:noProof/>
                <w:webHidden/>
              </w:rPr>
              <w:fldChar w:fldCharType="begin"/>
            </w:r>
            <w:r>
              <w:rPr>
                <w:noProof/>
                <w:webHidden/>
              </w:rPr>
              <w:instrText xml:space="preserve"> PAGEREF _Toc69823174 \h </w:instrText>
            </w:r>
            <w:r>
              <w:rPr>
                <w:noProof/>
                <w:webHidden/>
              </w:rPr>
            </w:r>
            <w:r>
              <w:rPr>
                <w:noProof/>
                <w:webHidden/>
              </w:rPr>
              <w:fldChar w:fldCharType="separate"/>
            </w:r>
            <w:r>
              <w:rPr>
                <w:noProof/>
                <w:webHidden/>
              </w:rPr>
              <w:t>9</w:t>
            </w:r>
            <w:r>
              <w:rPr>
                <w:noProof/>
                <w:webHidden/>
              </w:rPr>
              <w:fldChar w:fldCharType="end"/>
            </w:r>
          </w:hyperlink>
        </w:p>
        <w:p w14:paraId="079B7BA1" w14:textId="5345E8C1" w:rsidR="00C1715F" w:rsidRDefault="00C1715F">
          <w:pPr>
            <w:pStyle w:val="TOC1"/>
            <w:rPr>
              <w:rFonts w:eastAsiaTheme="minorEastAsia"/>
              <w:noProof/>
              <w:lang w:eastAsia="hr-HR"/>
            </w:rPr>
          </w:pPr>
          <w:hyperlink w:anchor="_Toc69823175" w:history="1">
            <w:r w:rsidRPr="00490523">
              <w:rPr>
                <w:rStyle w:val="Hyperlink"/>
                <w:noProof/>
              </w:rPr>
              <w:t>13.</w:t>
            </w:r>
            <w:r>
              <w:rPr>
                <w:rFonts w:eastAsiaTheme="minorEastAsia"/>
                <w:noProof/>
                <w:lang w:eastAsia="hr-HR"/>
              </w:rPr>
              <w:tab/>
            </w:r>
            <w:r w:rsidRPr="00490523">
              <w:rPr>
                <w:rStyle w:val="Hyperlink"/>
                <w:noProof/>
              </w:rPr>
              <w:t>Izmjene i dopune</w:t>
            </w:r>
            <w:r>
              <w:rPr>
                <w:noProof/>
                <w:webHidden/>
              </w:rPr>
              <w:tab/>
            </w:r>
            <w:r>
              <w:rPr>
                <w:noProof/>
                <w:webHidden/>
              </w:rPr>
              <w:fldChar w:fldCharType="begin"/>
            </w:r>
            <w:r>
              <w:rPr>
                <w:noProof/>
                <w:webHidden/>
              </w:rPr>
              <w:instrText xml:space="preserve"> PAGEREF _Toc69823175 \h </w:instrText>
            </w:r>
            <w:r>
              <w:rPr>
                <w:noProof/>
                <w:webHidden/>
              </w:rPr>
            </w:r>
            <w:r>
              <w:rPr>
                <w:noProof/>
                <w:webHidden/>
              </w:rPr>
              <w:fldChar w:fldCharType="separate"/>
            </w:r>
            <w:r>
              <w:rPr>
                <w:noProof/>
                <w:webHidden/>
              </w:rPr>
              <w:t>9</w:t>
            </w:r>
            <w:r>
              <w:rPr>
                <w:noProof/>
                <w:webHidden/>
              </w:rPr>
              <w:fldChar w:fldCharType="end"/>
            </w:r>
          </w:hyperlink>
        </w:p>
        <w:p w14:paraId="72E29625" w14:textId="19851BF9" w:rsidR="00C1715F" w:rsidRDefault="00C1715F">
          <w:pPr>
            <w:pStyle w:val="TOC1"/>
            <w:rPr>
              <w:rFonts w:eastAsiaTheme="minorEastAsia"/>
              <w:noProof/>
              <w:lang w:eastAsia="hr-HR"/>
            </w:rPr>
          </w:pPr>
          <w:hyperlink w:anchor="_Toc69823176" w:history="1">
            <w:r w:rsidRPr="00490523">
              <w:rPr>
                <w:rStyle w:val="Hyperlink"/>
                <w:noProof/>
              </w:rPr>
              <w:t>14.</w:t>
            </w:r>
            <w:r>
              <w:rPr>
                <w:rFonts w:eastAsiaTheme="minorEastAsia"/>
                <w:noProof/>
                <w:lang w:eastAsia="hr-HR"/>
              </w:rPr>
              <w:tab/>
            </w:r>
            <w:r w:rsidRPr="00490523">
              <w:rPr>
                <w:rStyle w:val="Hyperlink"/>
                <w:noProof/>
              </w:rPr>
              <w:t>Uvjeti plaćanja</w:t>
            </w:r>
            <w:r>
              <w:rPr>
                <w:noProof/>
                <w:webHidden/>
              </w:rPr>
              <w:tab/>
            </w:r>
            <w:r>
              <w:rPr>
                <w:noProof/>
                <w:webHidden/>
              </w:rPr>
              <w:fldChar w:fldCharType="begin"/>
            </w:r>
            <w:r>
              <w:rPr>
                <w:noProof/>
                <w:webHidden/>
              </w:rPr>
              <w:instrText xml:space="preserve"> PAGEREF _Toc69823176 \h </w:instrText>
            </w:r>
            <w:r>
              <w:rPr>
                <w:noProof/>
                <w:webHidden/>
              </w:rPr>
            </w:r>
            <w:r>
              <w:rPr>
                <w:noProof/>
                <w:webHidden/>
              </w:rPr>
              <w:fldChar w:fldCharType="separate"/>
            </w:r>
            <w:r>
              <w:rPr>
                <w:noProof/>
                <w:webHidden/>
              </w:rPr>
              <w:t>10</w:t>
            </w:r>
            <w:r>
              <w:rPr>
                <w:noProof/>
                <w:webHidden/>
              </w:rPr>
              <w:fldChar w:fldCharType="end"/>
            </w:r>
          </w:hyperlink>
        </w:p>
        <w:p w14:paraId="79A6EE4B" w14:textId="022EFB15" w:rsidR="00C1715F" w:rsidRDefault="00C1715F">
          <w:pPr>
            <w:pStyle w:val="TOC1"/>
            <w:rPr>
              <w:rFonts w:eastAsiaTheme="minorEastAsia"/>
              <w:noProof/>
              <w:lang w:eastAsia="hr-HR"/>
            </w:rPr>
          </w:pPr>
          <w:hyperlink w:anchor="_Toc69823177" w:history="1">
            <w:r w:rsidRPr="00490523">
              <w:rPr>
                <w:rStyle w:val="Hyperlink"/>
                <w:noProof/>
              </w:rPr>
              <w:t>15.</w:t>
            </w:r>
            <w:r>
              <w:rPr>
                <w:rFonts w:eastAsiaTheme="minorEastAsia"/>
                <w:noProof/>
                <w:lang w:eastAsia="hr-HR"/>
              </w:rPr>
              <w:tab/>
            </w:r>
            <w:r w:rsidRPr="00490523">
              <w:rPr>
                <w:rStyle w:val="Hyperlink"/>
                <w:noProof/>
              </w:rPr>
              <w:t>Jamstva</w:t>
            </w:r>
            <w:r>
              <w:rPr>
                <w:noProof/>
                <w:webHidden/>
              </w:rPr>
              <w:tab/>
            </w:r>
            <w:r>
              <w:rPr>
                <w:noProof/>
                <w:webHidden/>
              </w:rPr>
              <w:fldChar w:fldCharType="begin"/>
            </w:r>
            <w:r>
              <w:rPr>
                <w:noProof/>
                <w:webHidden/>
              </w:rPr>
              <w:instrText xml:space="preserve"> PAGEREF _Toc69823177 \h </w:instrText>
            </w:r>
            <w:r>
              <w:rPr>
                <w:noProof/>
                <w:webHidden/>
              </w:rPr>
            </w:r>
            <w:r>
              <w:rPr>
                <w:noProof/>
                <w:webHidden/>
              </w:rPr>
              <w:fldChar w:fldCharType="separate"/>
            </w:r>
            <w:r>
              <w:rPr>
                <w:noProof/>
                <w:webHidden/>
              </w:rPr>
              <w:t>10</w:t>
            </w:r>
            <w:r>
              <w:rPr>
                <w:noProof/>
                <w:webHidden/>
              </w:rPr>
              <w:fldChar w:fldCharType="end"/>
            </w:r>
          </w:hyperlink>
        </w:p>
        <w:p w14:paraId="14109FF8" w14:textId="420513B2" w:rsidR="00C1715F" w:rsidRDefault="00C1715F">
          <w:pPr>
            <w:pStyle w:val="TOC1"/>
            <w:rPr>
              <w:rFonts w:eastAsiaTheme="minorEastAsia"/>
              <w:noProof/>
              <w:lang w:eastAsia="hr-HR"/>
            </w:rPr>
          </w:pPr>
          <w:hyperlink w:anchor="_Toc69823178" w:history="1">
            <w:r w:rsidRPr="00490523">
              <w:rPr>
                <w:rStyle w:val="Hyperlink"/>
                <w:noProof/>
              </w:rPr>
              <w:t>I.</w:t>
            </w:r>
            <w:r>
              <w:rPr>
                <w:rFonts w:eastAsiaTheme="minorEastAsia"/>
                <w:noProof/>
                <w:lang w:eastAsia="hr-HR"/>
              </w:rPr>
              <w:tab/>
            </w:r>
            <w:r w:rsidRPr="00490523">
              <w:rPr>
                <w:rStyle w:val="Hyperlink"/>
                <w:noProof/>
              </w:rPr>
              <w:t>Prilog 1 – Ponudbeni list</w:t>
            </w:r>
            <w:r>
              <w:rPr>
                <w:noProof/>
                <w:webHidden/>
              </w:rPr>
              <w:tab/>
            </w:r>
            <w:r>
              <w:rPr>
                <w:noProof/>
                <w:webHidden/>
              </w:rPr>
              <w:fldChar w:fldCharType="begin"/>
            </w:r>
            <w:r>
              <w:rPr>
                <w:noProof/>
                <w:webHidden/>
              </w:rPr>
              <w:instrText xml:space="preserve"> PAGEREF _Toc69823178 \h </w:instrText>
            </w:r>
            <w:r>
              <w:rPr>
                <w:noProof/>
                <w:webHidden/>
              </w:rPr>
            </w:r>
            <w:r>
              <w:rPr>
                <w:noProof/>
                <w:webHidden/>
              </w:rPr>
              <w:fldChar w:fldCharType="separate"/>
            </w:r>
            <w:r>
              <w:rPr>
                <w:noProof/>
                <w:webHidden/>
              </w:rPr>
              <w:t>11</w:t>
            </w:r>
            <w:r>
              <w:rPr>
                <w:noProof/>
                <w:webHidden/>
              </w:rPr>
              <w:fldChar w:fldCharType="end"/>
            </w:r>
          </w:hyperlink>
        </w:p>
        <w:p w14:paraId="5CD5B626" w14:textId="372E9749" w:rsidR="00C1715F" w:rsidRDefault="00C1715F">
          <w:pPr>
            <w:pStyle w:val="TOC1"/>
            <w:rPr>
              <w:rFonts w:eastAsiaTheme="minorEastAsia"/>
              <w:noProof/>
              <w:lang w:eastAsia="hr-HR"/>
            </w:rPr>
          </w:pPr>
          <w:hyperlink w:anchor="_Toc69823179" w:history="1">
            <w:r w:rsidRPr="00490523">
              <w:rPr>
                <w:rStyle w:val="Hyperlink"/>
                <w:noProof/>
              </w:rPr>
              <w:t>II.</w:t>
            </w:r>
            <w:r>
              <w:rPr>
                <w:rFonts w:eastAsiaTheme="minorEastAsia"/>
                <w:noProof/>
                <w:lang w:eastAsia="hr-HR"/>
              </w:rPr>
              <w:tab/>
            </w:r>
            <w:r w:rsidRPr="00490523">
              <w:rPr>
                <w:rStyle w:val="Hyperlink"/>
                <w:noProof/>
              </w:rPr>
              <w:t>Prilog 2 - Troškovnik</w:t>
            </w:r>
            <w:r>
              <w:rPr>
                <w:noProof/>
                <w:webHidden/>
              </w:rPr>
              <w:tab/>
            </w:r>
            <w:r>
              <w:rPr>
                <w:noProof/>
                <w:webHidden/>
              </w:rPr>
              <w:fldChar w:fldCharType="begin"/>
            </w:r>
            <w:r>
              <w:rPr>
                <w:noProof/>
                <w:webHidden/>
              </w:rPr>
              <w:instrText xml:space="preserve"> PAGEREF _Toc69823179 \h </w:instrText>
            </w:r>
            <w:r>
              <w:rPr>
                <w:noProof/>
                <w:webHidden/>
              </w:rPr>
            </w:r>
            <w:r>
              <w:rPr>
                <w:noProof/>
                <w:webHidden/>
              </w:rPr>
              <w:fldChar w:fldCharType="separate"/>
            </w:r>
            <w:r>
              <w:rPr>
                <w:noProof/>
                <w:webHidden/>
              </w:rPr>
              <w:t>12</w:t>
            </w:r>
            <w:r>
              <w:rPr>
                <w:noProof/>
                <w:webHidden/>
              </w:rPr>
              <w:fldChar w:fldCharType="end"/>
            </w:r>
          </w:hyperlink>
        </w:p>
        <w:p w14:paraId="0DB9AD78" w14:textId="26BA9BD9" w:rsidR="00C1715F" w:rsidRDefault="00C1715F">
          <w:pPr>
            <w:pStyle w:val="TOC1"/>
            <w:rPr>
              <w:rFonts w:eastAsiaTheme="minorEastAsia"/>
              <w:noProof/>
              <w:lang w:eastAsia="hr-HR"/>
            </w:rPr>
          </w:pPr>
          <w:hyperlink w:anchor="_Toc69823180" w:history="1">
            <w:r w:rsidRPr="00490523">
              <w:rPr>
                <w:rStyle w:val="Hyperlink"/>
                <w:noProof/>
              </w:rPr>
              <w:t>III.</w:t>
            </w:r>
            <w:r>
              <w:rPr>
                <w:rFonts w:eastAsiaTheme="minorEastAsia"/>
                <w:noProof/>
                <w:lang w:eastAsia="hr-HR"/>
              </w:rPr>
              <w:tab/>
            </w:r>
            <w:r w:rsidRPr="00490523">
              <w:rPr>
                <w:rStyle w:val="Hyperlink"/>
                <w:noProof/>
              </w:rPr>
              <w:t>Prilog 3 – PRIJEDLOG UGOVORA</w:t>
            </w:r>
            <w:r>
              <w:rPr>
                <w:noProof/>
                <w:webHidden/>
              </w:rPr>
              <w:tab/>
            </w:r>
            <w:r>
              <w:rPr>
                <w:noProof/>
                <w:webHidden/>
              </w:rPr>
              <w:fldChar w:fldCharType="begin"/>
            </w:r>
            <w:r>
              <w:rPr>
                <w:noProof/>
                <w:webHidden/>
              </w:rPr>
              <w:instrText xml:space="preserve"> PAGEREF _Toc69823180 \h </w:instrText>
            </w:r>
            <w:r>
              <w:rPr>
                <w:noProof/>
                <w:webHidden/>
              </w:rPr>
            </w:r>
            <w:r>
              <w:rPr>
                <w:noProof/>
                <w:webHidden/>
              </w:rPr>
              <w:fldChar w:fldCharType="separate"/>
            </w:r>
            <w:r>
              <w:rPr>
                <w:noProof/>
                <w:webHidden/>
              </w:rPr>
              <w:t>13</w:t>
            </w:r>
            <w:r>
              <w:rPr>
                <w:noProof/>
                <w:webHidden/>
              </w:rPr>
              <w:fldChar w:fldCharType="end"/>
            </w:r>
          </w:hyperlink>
        </w:p>
        <w:p w14:paraId="19A4B8AC" w14:textId="03981125"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0" w:name="_Toc69823163"/>
      <w:r w:rsidRPr="00D37ACF">
        <w:rPr>
          <w:sz w:val="32"/>
        </w:rPr>
        <w:lastRenderedPageBreak/>
        <w:t>Podaci o Naručitelju</w:t>
      </w:r>
      <w:bookmarkEnd w:id="0"/>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1" w:name="_Toc69823164"/>
      <w:r w:rsidRPr="00D37ACF">
        <w:rPr>
          <w:sz w:val="32"/>
        </w:rPr>
        <w:t>Podaci o osobi zaduženoj za kontakt</w:t>
      </w:r>
      <w:bookmarkEnd w:id="1"/>
    </w:p>
    <w:p w14:paraId="2021D983" w14:textId="79C6CA28"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7A03CA">
        <w:rPr>
          <w:szCs w:val="20"/>
        </w:rPr>
        <w:t>Robert Horvat, univ. spec. oec., Josip Slobodić, mag. oec.,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2" w:name="_Toc69823165"/>
      <w:r w:rsidRPr="00D37ACF">
        <w:rPr>
          <w:sz w:val="32"/>
        </w:rPr>
        <w:t>Podaci o postupku</w:t>
      </w:r>
      <w:bookmarkEnd w:id="2"/>
    </w:p>
    <w:p w14:paraId="361E2912" w14:textId="1D109BD5"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613A2D">
        <w:rPr>
          <w:rFonts w:cs="Tahoma"/>
          <w:b/>
          <w:szCs w:val="20"/>
        </w:rPr>
        <w:t>abave: Održavanje agregata</w:t>
      </w:r>
    </w:p>
    <w:p w14:paraId="55D808AF" w14:textId="77777777" w:rsidR="009D09B8" w:rsidRPr="00D37ACF" w:rsidRDefault="009D09B8" w:rsidP="009D09B8">
      <w:pPr>
        <w:pStyle w:val="Azrastil"/>
        <w:jc w:val="both"/>
        <w:rPr>
          <w:rFonts w:eastAsia="Times New Roman"/>
          <w:b/>
          <w:szCs w:val="20"/>
        </w:rPr>
      </w:pPr>
    </w:p>
    <w:p w14:paraId="7A0ECC88" w14:textId="5E40CCEC"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613A2D">
        <w:rPr>
          <w:rFonts w:cs="Tahoma"/>
          <w:szCs w:val="20"/>
        </w:rPr>
        <w:t>18</w:t>
      </w:r>
      <w:r w:rsidR="007A03CA">
        <w:rPr>
          <w:rFonts w:cs="Tahoma"/>
          <w:szCs w:val="20"/>
        </w:rPr>
        <w:t>/2021</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726D57DF" w:rsidR="00C20462" w:rsidRPr="009D09B8" w:rsidRDefault="00C20462" w:rsidP="00821E0A">
      <w:pPr>
        <w:pStyle w:val="Azrastil"/>
        <w:numPr>
          <w:ilvl w:val="0"/>
          <w:numId w:val="1"/>
        </w:numPr>
        <w:jc w:val="both"/>
        <w:rPr>
          <w:rFonts w:eastAsia="Times New Roman"/>
          <w:szCs w:val="20"/>
        </w:rPr>
      </w:pPr>
      <w:r w:rsidRPr="00D37ACF">
        <w:rPr>
          <w:rFonts w:eastAsia="Times New Roman"/>
          <w:b/>
          <w:szCs w:val="20"/>
        </w:rPr>
        <w:t>CPV:</w:t>
      </w:r>
      <w:r w:rsidR="007A03CA">
        <w:rPr>
          <w:rFonts w:eastAsia="Times New Roman"/>
          <w:b/>
          <w:szCs w:val="20"/>
        </w:rPr>
        <w:t xml:space="preserve"> </w:t>
      </w:r>
      <w:r w:rsidR="00821E0A" w:rsidRPr="00821E0A">
        <w:rPr>
          <w:rFonts w:eastAsia="Times New Roman"/>
          <w:szCs w:val="20"/>
        </w:rPr>
        <w:t>45259000-7</w:t>
      </w:r>
      <w:r w:rsidR="00821E0A">
        <w:rPr>
          <w:rFonts w:eastAsia="Times New Roman"/>
          <w:szCs w:val="20"/>
        </w:rPr>
        <w:t xml:space="preserve"> Popravak i održavanje postrojenja</w:t>
      </w:r>
    </w:p>
    <w:p w14:paraId="3D1CA0AC" w14:textId="77777777" w:rsidR="009D09B8" w:rsidRPr="00D37ACF" w:rsidRDefault="009D09B8" w:rsidP="009D09B8">
      <w:pPr>
        <w:pStyle w:val="Azrastil"/>
        <w:jc w:val="both"/>
        <w:rPr>
          <w:rFonts w:eastAsia="Times New Roman"/>
          <w:szCs w:val="20"/>
        </w:rPr>
      </w:pPr>
    </w:p>
    <w:p w14:paraId="0B298006" w14:textId="5435612F"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613A2D">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63B2E608" w14:textId="2C93047B" w:rsidR="00C322A8" w:rsidRPr="00821E0A" w:rsidRDefault="00613A2D" w:rsidP="00821E0A">
      <w:pPr>
        <w:pStyle w:val="Azrastil"/>
        <w:numPr>
          <w:ilvl w:val="0"/>
          <w:numId w:val="1"/>
        </w:numPr>
        <w:jc w:val="both"/>
        <w:rPr>
          <w:rFonts w:cs="Tahoma"/>
          <w:szCs w:val="20"/>
          <w:lang w:val="en-US"/>
        </w:rPr>
      </w:pPr>
      <w:r w:rsidRPr="00821E0A">
        <w:rPr>
          <w:rFonts w:eastAsia="Times New Roman"/>
          <w:b/>
          <w:szCs w:val="20"/>
        </w:rPr>
        <w:t>Rok izvršenja</w:t>
      </w:r>
      <w:r w:rsidR="00CE7157" w:rsidRPr="00821E0A">
        <w:rPr>
          <w:rFonts w:cs="Tahoma"/>
          <w:szCs w:val="20"/>
        </w:rPr>
        <w:t>:</w:t>
      </w:r>
      <w:r w:rsidR="00372953" w:rsidRPr="00821E0A">
        <w:rPr>
          <w:rFonts w:cs="Tahoma"/>
          <w:szCs w:val="20"/>
        </w:rPr>
        <w:t xml:space="preserve"> 12 mjeseci</w:t>
      </w:r>
    </w:p>
    <w:p w14:paraId="1F1FAF7D" w14:textId="158BA3B5" w:rsidR="00821E0A" w:rsidRPr="00821E0A" w:rsidRDefault="00821E0A" w:rsidP="00821E0A">
      <w:pPr>
        <w:pStyle w:val="Azrastil"/>
        <w:jc w:val="both"/>
        <w:rPr>
          <w:rFonts w:cs="Tahoma"/>
          <w:szCs w:val="20"/>
          <w:lang w:val="en-US"/>
        </w:rPr>
      </w:pPr>
    </w:p>
    <w:p w14:paraId="0027D2C9" w14:textId="090B90BD" w:rsidR="00C322A8" w:rsidRPr="009D09B8" w:rsidRDefault="00C322A8" w:rsidP="00FE78BC">
      <w:pPr>
        <w:pStyle w:val="Azrastil"/>
        <w:numPr>
          <w:ilvl w:val="0"/>
          <w:numId w:val="1"/>
        </w:numPr>
        <w:jc w:val="both"/>
        <w:rPr>
          <w:rFonts w:cs="Tahoma"/>
          <w:szCs w:val="20"/>
          <w:lang w:val="en-US"/>
        </w:rPr>
      </w:pPr>
      <w:r w:rsidRPr="00C322A8">
        <w:rPr>
          <w:rFonts w:cs="Tahoma"/>
          <w:b/>
          <w:szCs w:val="20"/>
          <w:lang w:val="en-US"/>
        </w:rPr>
        <w:t>P</w:t>
      </w:r>
      <w:r>
        <w:rPr>
          <w:rFonts w:cs="Tahoma"/>
          <w:b/>
          <w:szCs w:val="20"/>
          <w:lang w:val="en-US"/>
        </w:rPr>
        <w:t>rocijenjena</w:t>
      </w:r>
      <w:r w:rsidRPr="00C322A8">
        <w:rPr>
          <w:rFonts w:cs="Tahoma"/>
          <w:b/>
          <w:szCs w:val="20"/>
          <w:lang w:val="en-US"/>
        </w:rPr>
        <w:t xml:space="preserve"> vrijednost: </w:t>
      </w:r>
      <w:r w:rsidR="00613A2D">
        <w:rPr>
          <w:rFonts w:cs="Tahoma"/>
          <w:szCs w:val="20"/>
          <w:lang w:val="en-US"/>
        </w:rPr>
        <w:t>21.00</w:t>
      </w:r>
      <w:r>
        <w:rPr>
          <w:rFonts w:cs="Tahoma"/>
          <w:szCs w:val="20"/>
          <w:lang w:val="en-US"/>
        </w:rPr>
        <w:t>0,00 kn bez PDV-a</w:t>
      </w:r>
    </w:p>
    <w:p w14:paraId="5FBBAB1C" w14:textId="77777777"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3" w:name="_Toc69823166"/>
      <w:r w:rsidRPr="00D37ACF">
        <w:rPr>
          <w:sz w:val="32"/>
        </w:rPr>
        <w:t>Podaci o predmetu nabave</w:t>
      </w:r>
      <w:bookmarkEnd w:id="3"/>
    </w:p>
    <w:p w14:paraId="1C665DF5" w14:textId="364B97A5"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p>
    <w:p w14:paraId="7E578C4D" w14:textId="77777777" w:rsidR="009D09B8" w:rsidRPr="00D37ACF" w:rsidRDefault="009D09B8" w:rsidP="009D09B8">
      <w:pPr>
        <w:pStyle w:val="Azrastil"/>
        <w:jc w:val="both"/>
        <w:rPr>
          <w:szCs w:val="20"/>
        </w:rPr>
      </w:pPr>
    </w:p>
    <w:p w14:paraId="5DC29BAA" w14:textId="5D50EDB1" w:rsidR="00821E0A" w:rsidRDefault="00C20462" w:rsidP="00821E0A">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04BB873B" w14:textId="54198713" w:rsidR="00821E0A" w:rsidRPr="00821E0A" w:rsidRDefault="00821E0A" w:rsidP="00821E0A">
      <w:pPr>
        <w:pStyle w:val="Azrastil"/>
        <w:jc w:val="both"/>
        <w:rPr>
          <w:szCs w:val="20"/>
        </w:rPr>
      </w:pPr>
    </w:p>
    <w:p w14:paraId="4C9059CB" w14:textId="4CAB2BF8" w:rsidR="00821E0A" w:rsidRDefault="00821E0A" w:rsidP="00821E0A">
      <w:pPr>
        <w:pStyle w:val="NoSpacing"/>
        <w:ind w:left="851" w:hanging="851"/>
        <w:rPr>
          <w:rFonts w:asciiTheme="minorHAnsi" w:hAnsiTheme="minorHAnsi"/>
          <w:b/>
          <w:bCs/>
        </w:rPr>
      </w:pPr>
      <w:r>
        <w:rPr>
          <w:rFonts w:asciiTheme="minorHAnsi" w:hAnsiTheme="minorHAnsi"/>
          <w:b/>
          <w:bCs/>
        </w:rPr>
        <w:t xml:space="preserve">Održavanje i servis agregata TORPEDO KONČAR B559A 250 kVA i PERKINS-AGIP STANFORD 500 kVA        </w:t>
      </w:r>
    </w:p>
    <w:p w14:paraId="58D1A7C5" w14:textId="3B72EBDA" w:rsidR="00821E0A" w:rsidRDefault="00821E0A" w:rsidP="00821E0A">
      <w:pPr>
        <w:pStyle w:val="NoSpacing"/>
        <w:ind w:left="851" w:hanging="851"/>
        <w:rPr>
          <w:rFonts w:asciiTheme="minorHAnsi" w:hAnsiTheme="minorHAnsi"/>
          <w:b/>
          <w:bCs/>
        </w:rPr>
      </w:pPr>
    </w:p>
    <w:p w14:paraId="42CEDE0A" w14:textId="7A39B905" w:rsidR="00821E0A" w:rsidRDefault="00821E0A" w:rsidP="00821E0A">
      <w:pPr>
        <w:pStyle w:val="NoSpacing"/>
        <w:ind w:left="851" w:hanging="851"/>
        <w:rPr>
          <w:rFonts w:asciiTheme="minorHAnsi" w:hAnsiTheme="minorHAnsi"/>
          <w:b/>
          <w:bCs/>
        </w:rPr>
      </w:pPr>
    </w:p>
    <w:p w14:paraId="137BEB22" w14:textId="77777777" w:rsidR="00821E0A" w:rsidRDefault="00821E0A" w:rsidP="00821E0A">
      <w:pPr>
        <w:pStyle w:val="NoSpacing"/>
        <w:ind w:left="851" w:hanging="851"/>
        <w:rPr>
          <w:rFonts w:asciiTheme="minorHAnsi" w:hAnsiTheme="minorHAnsi"/>
          <w:b/>
          <w:bCs/>
        </w:rPr>
      </w:pPr>
    </w:p>
    <w:p w14:paraId="7E1E2766" w14:textId="0BBC0FE0" w:rsidR="00821E0A" w:rsidRDefault="00821E0A" w:rsidP="00821E0A">
      <w:pPr>
        <w:pStyle w:val="NoSpacing"/>
        <w:spacing w:line="276" w:lineRule="auto"/>
        <w:ind w:left="851" w:hanging="851"/>
        <w:rPr>
          <w:rFonts w:asciiTheme="minorHAnsi" w:hAnsiTheme="minorHAnsi"/>
          <w:bCs/>
        </w:rPr>
      </w:pPr>
      <w:r>
        <w:rPr>
          <w:rFonts w:asciiTheme="minorHAnsi" w:hAnsiTheme="minorHAnsi"/>
          <w:bCs/>
        </w:rPr>
        <w:lastRenderedPageBreak/>
        <w:t xml:space="preserve">                 Mjesečni kontrolni servis obuhvaća:</w:t>
      </w:r>
    </w:p>
    <w:p w14:paraId="65DA7767" w14:textId="77777777" w:rsidR="00821E0A" w:rsidRDefault="00821E0A" w:rsidP="00821E0A">
      <w:pPr>
        <w:pStyle w:val="NoSpacing"/>
        <w:numPr>
          <w:ilvl w:val="0"/>
          <w:numId w:val="29"/>
        </w:numPr>
        <w:spacing w:line="276" w:lineRule="auto"/>
        <w:ind w:left="851" w:hanging="851"/>
        <w:rPr>
          <w:rFonts w:asciiTheme="minorHAnsi" w:hAnsiTheme="minorHAnsi"/>
          <w:bCs/>
        </w:rPr>
      </w:pPr>
      <w:r>
        <w:rPr>
          <w:rFonts w:asciiTheme="minorHAnsi" w:hAnsiTheme="minorHAnsi"/>
          <w:bCs/>
        </w:rPr>
        <w:t>kontrolu i, po potrebi, dolijevanje ulja;</w:t>
      </w:r>
    </w:p>
    <w:p w14:paraId="0923944C"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kontrolu i, po potrebi, dolijevanje antifriza;</w:t>
      </w:r>
    </w:p>
    <w:p w14:paraId="34FCCDF9"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kontrolu sistema predgrijavanja motora;</w:t>
      </w:r>
    </w:p>
    <w:p w14:paraId="6176A34B"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kontrolu akumulatorskih baterija i, po potrebi, dolijevanje destilirane vode;</w:t>
      </w:r>
    </w:p>
    <w:p w14:paraId="1F636C49"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kontrola sklopnika, releja i preklopki;</w:t>
      </w:r>
    </w:p>
    <w:p w14:paraId="443DDF8C"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kontrolu ležajeva generatora:</w:t>
      </w:r>
    </w:p>
    <w:p w14:paraId="14B5CC16"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kontrolu zračnih pročistača,</w:t>
      </w:r>
    </w:p>
    <w:p w14:paraId="1D6333BF"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ispitivanje rada automatike upravljačkog ormara;</w:t>
      </w:r>
    </w:p>
    <w:p w14:paraId="01C4F25E"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ručno startanje i rad agregata u trajanju od 15 minuta;</w:t>
      </w:r>
    </w:p>
    <w:p w14:paraId="7B92BAAA"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rad agregata pod opterećenjem u dogovoru s naručiteljem;</w:t>
      </w:r>
    </w:p>
    <w:p w14:paraId="471006A4"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ispis stanja broja sati prije i nakon servisa;</w:t>
      </w:r>
    </w:p>
    <w:p w14:paraId="4CDBAE4C" w14:textId="77777777" w:rsidR="00821E0A" w:rsidRDefault="00821E0A" w:rsidP="00821E0A">
      <w:pPr>
        <w:pStyle w:val="NoSpacing"/>
        <w:numPr>
          <w:ilvl w:val="0"/>
          <w:numId w:val="29"/>
        </w:numPr>
        <w:ind w:left="851" w:hanging="851"/>
        <w:rPr>
          <w:rFonts w:asciiTheme="minorHAnsi" w:hAnsiTheme="minorHAnsi"/>
          <w:bCs/>
        </w:rPr>
      </w:pPr>
      <w:r>
        <w:rPr>
          <w:rFonts w:asciiTheme="minorHAnsi" w:hAnsiTheme="minorHAnsi"/>
          <w:bCs/>
        </w:rPr>
        <w:t>zapisnik u obliku kontrolnika za svako servisiranje;</w:t>
      </w:r>
    </w:p>
    <w:p w14:paraId="6924CF55" w14:textId="33B01CBC" w:rsidR="00821E0A" w:rsidRPr="00821E0A" w:rsidRDefault="00821E0A" w:rsidP="00821E0A">
      <w:pPr>
        <w:pStyle w:val="NoSpacing"/>
        <w:numPr>
          <w:ilvl w:val="0"/>
          <w:numId w:val="29"/>
        </w:numPr>
        <w:spacing w:line="480" w:lineRule="auto"/>
        <w:ind w:left="851" w:hanging="851"/>
        <w:rPr>
          <w:rFonts w:asciiTheme="minorHAnsi" w:hAnsiTheme="minorHAnsi"/>
          <w:bCs/>
        </w:rPr>
      </w:pPr>
      <w:r>
        <w:rPr>
          <w:rFonts w:asciiTheme="minorHAnsi" w:hAnsiTheme="minorHAnsi"/>
          <w:bCs/>
        </w:rPr>
        <w:t>davanje uputa i obuka rukovaoca agregata.</w:t>
      </w:r>
    </w:p>
    <w:p w14:paraId="4432CFCA" w14:textId="77777777" w:rsidR="00821E0A" w:rsidRDefault="00821E0A" w:rsidP="00821E0A">
      <w:pPr>
        <w:pStyle w:val="NoSpacing"/>
        <w:spacing w:line="276" w:lineRule="auto"/>
        <w:ind w:left="851" w:hanging="851"/>
        <w:rPr>
          <w:rFonts w:asciiTheme="minorHAnsi" w:hAnsiTheme="minorHAnsi"/>
          <w:bCs/>
        </w:rPr>
      </w:pPr>
      <w:r>
        <w:rPr>
          <w:rFonts w:asciiTheme="minorHAnsi" w:hAnsiTheme="minorHAnsi"/>
          <w:bCs/>
        </w:rPr>
        <w:t>Godišnji servis obuhvaća:</w:t>
      </w:r>
    </w:p>
    <w:p w14:paraId="6C5A3F0A"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zamjena ulja;</w:t>
      </w:r>
    </w:p>
    <w:p w14:paraId="5D31477C"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 xml:space="preserve">zamjena pročistača </w:t>
      </w:r>
      <w:r w:rsidRPr="00821E0A">
        <w:rPr>
          <w:rFonts w:asciiTheme="minorHAnsi" w:hAnsiTheme="minorHAnsi"/>
          <w:bCs/>
        </w:rPr>
        <w:t>(filtera)</w:t>
      </w:r>
      <w:r>
        <w:rPr>
          <w:rFonts w:asciiTheme="minorHAnsi" w:hAnsiTheme="minorHAnsi"/>
          <w:bCs/>
        </w:rPr>
        <w:t xml:space="preserve"> ulja,  pročistača </w:t>
      </w:r>
      <w:r w:rsidRPr="00821E0A">
        <w:rPr>
          <w:rFonts w:asciiTheme="minorHAnsi" w:hAnsiTheme="minorHAnsi"/>
          <w:bCs/>
        </w:rPr>
        <w:t>(filtera)</w:t>
      </w:r>
      <w:r>
        <w:rPr>
          <w:rFonts w:asciiTheme="minorHAnsi" w:hAnsiTheme="minorHAnsi"/>
          <w:bCs/>
        </w:rPr>
        <w:t xml:space="preserve"> goriva i pročistača </w:t>
      </w:r>
      <w:r w:rsidRPr="00821E0A">
        <w:rPr>
          <w:rFonts w:asciiTheme="minorHAnsi" w:hAnsiTheme="minorHAnsi"/>
          <w:bCs/>
        </w:rPr>
        <w:t>(filtera)</w:t>
      </w:r>
      <w:r>
        <w:rPr>
          <w:rFonts w:asciiTheme="minorHAnsi" w:hAnsiTheme="minorHAnsi"/>
          <w:bCs/>
        </w:rPr>
        <w:t xml:space="preserve"> zraka;</w:t>
      </w:r>
    </w:p>
    <w:p w14:paraId="46904CC5"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kontrolu rashladnog sistema, gumenih cijevi i brtvi;</w:t>
      </w:r>
    </w:p>
    <w:p w14:paraId="28DDEA8C"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kontrolu grijača i termostata;</w:t>
      </w:r>
    </w:p>
    <w:p w14:paraId="647BD38D"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 xml:space="preserve">kontrola i </w:t>
      </w:r>
      <w:r w:rsidRPr="00821E0A">
        <w:rPr>
          <w:rFonts w:asciiTheme="minorHAnsi" w:hAnsiTheme="minorHAnsi"/>
          <w:bCs/>
        </w:rPr>
        <w:t>zamjena</w:t>
      </w:r>
      <w:r>
        <w:rPr>
          <w:rFonts w:asciiTheme="minorHAnsi" w:hAnsiTheme="minorHAnsi"/>
          <w:bCs/>
        </w:rPr>
        <w:t xml:space="preserve"> antifriza;</w:t>
      </w:r>
    </w:p>
    <w:p w14:paraId="7D6FA821"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kontrolu i čišćenje zračnih pročistača;</w:t>
      </w:r>
    </w:p>
    <w:p w14:paraId="3F91E702"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kontrolu sistema dovoda i odvoda goriva;</w:t>
      </w:r>
    </w:p>
    <w:p w14:paraId="5B581CA7"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kontrolu nivoa goriva u dnevnom spremniku;</w:t>
      </w:r>
    </w:p>
    <w:p w14:paraId="5E502635"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kontrolu punjača akumulatorskih baterija;</w:t>
      </w:r>
    </w:p>
    <w:p w14:paraId="43D69C8A"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kontrolu akumulatorskih baterija i, po potrebi, dolijevanje destilirane vode;</w:t>
      </w:r>
    </w:p>
    <w:p w14:paraId="1B403972"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kontrolu elektropokretača i alternatora;</w:t>
      </w:r>
    </w:p>
    <w:p w14:paraId="09E87FB1"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kontrolu sklopnika i releja i preklopki;</w:t>
      </w:r>
    </w:p>
    <w:p w14:paraId="37776266"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kontrolu generatora;</w:t>
      </w:r>
    </w:p>
    <w:p w14:paraId="7A06A643"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ispitivanje rada automatike komadnog ormara;</w:t>
      </w:r>
    </w:p>
    <w:p w14:paraId="6C2555EB"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test rad u agregatu;</w:t>
      </w:r>
    </w:p>
    <w:p w14:paraId="6F5E02B1" w14:textId="77777777" w:rsidR="00821E0A"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rad agregata pod opterećenjem u dogovoru s naručiteljem;</w:t>
      </w:r>
    </w:p>
    <w:p w14:paraId="049A36EB" w14:textId="77777777" w:rsidR="00821E0A" w:rsidRPr="000E436F" w:rsidRDefault="00821E0A" w:rsidP="00821E0A">
      <w:pPr>
        <w:pStyle w:val="NoSpacing"/>
        <w:numPr>
          <w:ilvl w:val="0"/>
          <w:numId w:val="30"/>
        </w:numPr>
        <w:spacing w:line="276" w:lineRule="auto"/>
        <w:ind w:left="851" w:hanging="851"/>
        <w:rPr>
          <w:rFonts w:asciiTheme="minorHAnsi" w:hAnsiTheme="minorHAnsi"/>
          <w:bCs/>
        </w:rPr>
      </w:pPr>
      <w:r>
        <w:rPr>
          <w:rFonts w:asciiTheme="minorHAnsi" w:hAnsiTheme="minorHAnsi"/>
          <w:bCs/>
        </w:rPr>
        <w:t>sastavljanje zapisnika o izvedenoj usluzi.</w:t>
      </w:r>
    </w:p>
    <w:p w14:paraId="1A320F4B" w14:textId="4A06CFF6"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4" w:name="_Toc27140099"/>
      <w:bookmarkStart w:id="5" w:name="_Toc27141963"/>
      <w:bookmarkStart w:id="6" w:name="_Toc27143481"/>
      <w:r w:rsidR="009D09B8" w:rsidRPr="008D5A31">
        <w:rPr>
          <w:snapToGrid w:val="0"/>
        </w:rPr>
        <w:t>Ponuditelj mora ispuniti sve tražene stavke (stupce i retke) iz troškovnika.</w:t>
      </w:r>
      <w:bookmarkEnd w:id="4"/>
      <w:bookmarkEnd w:id="5"/>
      <w:bookmarkEnd w:id="6"/>
    </w:p>
    <w:p w14:paraId="2F1521FF" w14:textId="77777777" w:rsidR="009D09B8" w:rsidRPr="009D09B8" w:rsidRDefault="009D09B8" w:rsidP="009D09B8">
      <w:pPr>
        <w:pStyle w:val="ListParagraph"/>
        <w:rPr>
          <w:szCs w:val="20"/>
        </w:rPr>
      </w:pPr>
      <w:bookmarkStart w:id="7" w:name="_Toc27140100"/>
      <w:bookmarkStart w:id="8" w:name="_Toc27141964"/>
      <w:bookmarkStart w:id="9" w:name="_Toc27143482"/>
      <w:r w:rsidRPr="009D09B8">
        <w:rPr>
          <w:szCs w:val="20"/>
        </w:rPr>
        <w:t>Ponuditelj je obvezan u ponudi dostaviti u cijelosti popunjen Troškovnik iz kojeg mora biti vidljivo ispunjavanje svih zahtjeva koji se odnose na predmet nabave ili su s njim neposredno povezani.</w:t>
      </w:r>
      <w:bookmarkEnd w:id="7"/>
      <w:bookmarkEnd w:id="8"/>
      <w:bookmarkEnd w:id="9"/>
    </w:p>
    <w:p w14:paraId="58C5F725" w14:textId="77777777" w:rsidR="009D09B8" w:rsidRPr="009D09B8" w:rsidRDefault="009D09B8" w:rsidP="00A62950">
      <w:pPr>
        <w:pStyle w:val="ListParagraph"/>
        <w:jc w:val="both"/>
        <w:rPr>
          <w:szCs w:val="20"/>
        </w:rPr>
      </w:pPr>
      <w:bookmarkStart w:id="10" w:name="_Toc27140101"/>
      <w:bookmarkStart w:id="11" w:name="_Toc27141965"/>
      <w:bookmarkStart w:id="12" w:name="_Toc27143483"/>
      <w:r w:rsidRPr="009D09B8">
        <w:rPr>
          <w:szCs w:val="20"/>
        </w:rPr>
        <w:t>Ponuditelj popunjava troškovnik na način kako je traženo obrascem.</w:t>
      </w:r>
      <w:bookmarkStart w:id="13" w:name="_Toc27140102"/>
      <w:bookmarkStart w:id="14" w:name="_Toc27141966"/>
      <w:bookmarkStart w:id="15" w:name="_Toc27143484"/>
      <w:bookmarkEnd w:id="10"/>
      <w:bookmarkEnd w:id="11"/>
      <w:bookmarkEnd w:id="12"/>
      <w:r w:rsidRPr="009D09B8">
        <w:rPr>
          <w:szCs w:val="20"/>
        </w:rPr>
        <w:t xml:space="preserve"> Ponuditelj je u obvezi ispuniti troškovnik u skladu sa zahtjevima iz ove dokumentacije o nabavi te ne smije mijenjati tekst ili količine navedene u troškovniku.</w:t>
      </w:r>
      <w:bookmarkEnd w:id="13"/>
      <w:bookmarkEnd w:id="14"/>
      <w:bookmarkEnd w:id="15"/>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lastRenderedPageBreak/>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6" w:name="_Toc27140103"/>
      <w:bookmarkStart w:id="17" w:name="_Toc27141967"/>
      <w:bookmarkStart w:id="18" w:name="_Toc27143485"/>
      <w:bookmarkStart w:id="19" w:name="_Toc27140108"/>
      <w:bookmarkStart w:id="20" w:name="_Toc27141972"/>
      <w:bookmarkStart w:id="21"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2" w:name="_Toc27140104"/>
      <w:bookmarkStart w:id="23" w:name="_Toc27141968"/>
      <w:bookmarkStart w:id="24" w:name="_Toc27143486"/>
      <w:bookmarkEnd w:id="16"/>
      <w:bookmarkEnd w:id="17"/>
      <w:bookmarkEnd w:id="18"/>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5" w:name="_Toc27140105"/>
      <w:bookmarkStart w:id="26" w:name="_Toc27141969"/>
      <w:bookmarkStart w:id="27" w:name="_Toc27143487"/>
      <w:bookmarkEnd w:id="22"/>
      <w:bookmarkEnd w:id="23"/>
      <w:bookmarkEnd w:id="24"/>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8" w:name="_Toc27140106"/>
      <w:bookmarkStart w:id="29" w:name="_Toc27141970"/>
      <w:bookmarkStart w:id="30" w:name="_Toc27143488"/>
      <w:bookmarkEnd w:id="25"/>
      <w:bookmarkEnd w:id="26"/>
      <w:bookmarkEnd w:id="27"/>
      <w:r w:rsidRPr="008D5A31">
        <w:rPr>
          <w:snapToGrid w:val="0"/>
        </w:rPr>
        <w:t xml:space="preserve"> cijena stavki u grupi čini ukupnu cijenu ponude bez PDV-a za tu grupu. Posebno se iskazuje i ukupna</w:t>
      </w:r>
      <w:bookmarkStart w:id="31" w:name="_Toc27140107"/>
      <w:bookmarkStart w:id="32" w:name="_Toc27141971"/>
      <w:bookmarkStart w:id="33" w:name="_Toc27143489"/>
      <w:bookmarkEnd w:id="28"/>
      <w:bookmarkEnd w:id="29"/>
      <w:bookmarkEnd w:id="30"/>
      <w:r w:rsidRPr="008D5A31">
        <w:rPr>
          <w:snapToGrid w:val="0"/>
        </w:rPr>
        <w:t xml:space="preserve"> cijena ponude sa PDV-om.</w:t>
      </w:r>
      <w:bookmarkEnd w:id="31"/>
      <w:bookmarkEnd w:id="32"/>
      <w:bookmarkEnd w:id="33"/>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19"/>
    <w:bookmarkEnd w:id="20"/>
    <w:bookmarkEnd w:id="21"/>
    <w:p w14:paraId="2AC15ABB" w14:textId="32CE6D52" w:rsidR="004A7F75" w:rsidRPr="00D37ACF"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p>
    <w:p w14:paraId="155AF60F" w14:textId="5057D242" w:rsidR="00185733" w:rsidRPr="00D37ACF" w:rsidRDefault="00185733" w:rsidP="00FE78BC">
      <w:pPr>
        <w:pStyle w:val="Azrastil"/>
        <w:jc w:val="both"/>
        <w:rPr>
          <w:color w:val="000000"/>
          <w:szCs w:val="20"/>
        </w:rPr>
      </w:pPr>
    </w:p>
    <w:p w14:paraId="1E1304B8" w14:textId="7D959A58" w:rsidR="003C44D0" w:rsidRPr="00D37ACF" w:rsidRDefault="003C44D0" w:rsidP="00FE78BC">
      <w:pPr>
        <w:pStyle w:val="Style2"/>
        <w:ind w:hanging="720"/>
        <w:jc w:val="both"/>
        <w:rPr>
          <w:sz w:val="32"/>
        </w:rPr>
      </w:pPr>
      <w:bookmarkStart w:id="34" w:name="_Toc69823167"/>
      <w:r w:rsidRPr="00D37ACF">
        <w:rPr>
          <w:sz w:val="32"/>
        </w:rPr>
        <w:t>Osnove za isključenje i dokazi</w:t>
      </w:r>
      <w:bookmarkEnd w:id="34"/>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w:t>
      </w:r>
      <w:bookmarkStart w:id="35" w:name="_GoBack"/>
      <w:bookmarkEnd w:id="35"/>
      <w:r w:rsidRPr="00D37ACF">
        <w:rPr>
          <w:rFonts w:asciiTheme="minorHAnsi" w:hAnsiTheme="minorHAnsi" w:cstheme="minorHAnsi"/>
          <w:sz w:val="22"/>
        </w:rPr>
        <w:t xml:space="preserve">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lastRenderedPageBreak/>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57B9CA3B" w14:textId="6123E2C5" w:rsidR="004129BA" w:rsidRDefault="00C02773" w:rsidP="00613A2D">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79378B65" w14:textId="72BDCCE0" w:rsidR="00842C82" w:rsidRPr="004129BA" w:rsidRDefault="00842C82" w:rsidP="004129BA">
      <w:pPr>
        <w:pStyle w:val="Azrastil"/>
        <w:jc w:val="both"/>
        <w:rPr>
          <w:szCs w:val="20"/>
        </w:rPr>
      </w:pPr>
    </w:p>
    <w:p w14:paraId="62246409" w14:textId="34E566BA" w:rsidR="00C02773" w:rsidRDefault="00C02773" w:rsidP="00FE78BC">
      <w:pPr>
        <w:pStyle w:val="Azrastil"/>
        <w:jc w:val="both"/>
        <w:rPr>
          <w:szCs w:val="20"/>
        </w:rPr>
      </w:pPr>
      <w:r w:rsidRPr="00D37ACF">
        <w:rPr>
          <w:szCs w:val="20"/>
        </w:rPr>
        <w:t>Svi dokazi koji se dostavljaju mogu se dostaviti u neovjerenim preslikama.</w:t>
      </w:r>
    </w:p>
    <w:p w14:paraId="5FA2BA5F" w14:textId="77777777" w:rsidR="00FC2739" w:rsidRPr="00D37ACF" w:rsidRDefault="00FC2739" w:rsidP="00FE78BC">
      <w:pPr>
        <w:pStyle w:val="Azrastil"/>
        <w:jc w:val="both"/>
        <w:rPr>
          <w:szCs w:val="20"/>
        </w:rPr>
      </w:pPr>
    </w:p>
    <w:p w14:paraId="6CC58EEB" w14:textId="01E9830E" w:rsidR="008D5EFB" w:rsidRPr="008D5EFB" w:rsidRDefault="00185733" w:rsidP="008D5EFB">
      <w:pPr>
        <w:pStyle w:val="Style2"/>
        <w:spacing w:line="240" w:lineRule="auto"/>
        <w:ind w:hanging="720"/>
        <w:jc w:val="both"/>
        <w:rPr>
          <w:sz w:val="32"/>
        </w:rPr>
      </w:pPr>
      <w:bookmarkStart w:id="36" w:name="_Toc69823168"/>
      <w:r w:rsidRPr="00D37ACF">
        <w:rPr>
          <w:sz w:val="32"/>
        </w:rPr>
        <w:t>Odredbe o zajednici gospodarskih subjekata, podugovarateljima i oslanjanju na sposobnosti drugih gospodarskih subjekata</w:t>
      </w:r>
      <w:bookmarkEnd w:id="36"/>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lastRenderedPageBreak/>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69823169"/>
      <w:r w:rsidRPr="00D37ACF">
        <w:rPr>
          <w:sz w:val="32"/>
        </w:rPr>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69823170"/>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69823171"/>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bookmarkStart w:id="40" w:name="_Hlk47610290"/>
      <w:bookmarkStart w:id="41"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2" w:name="_Hlk47610315"/>
      <w:r w:rsidRPr="00C86224">
        <w:lastRenderedPageBreak/>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3" w:name="_Hlk47610325"/>
      <w:bookmarkEnd w:id="40"/>
      <w:bookmarkEnd w:id="42"/>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3"/>
    <w:p w14:paraId="2E4709B1" w14:textId="77777777" w:rsidR="000C6417" w:rsidRPr="0069175F" w:rsidRDefault="000C6417" w:rsidP="000C6417">
      <w:pPr>
        <w:pStyle w:val="ListParagraph"/>
        <w:ind w:left="0"/>
        <w:jc w:val="both"/>
        <w:rPr>
          <w:highlight w:val="yellow"/>
        </w:rPr>
      </w:pPr>
    </w:p>
    <w:p w14:paraId="6B4DBE0A" w14:textId="3B1D7C86" w:rsidR="004B69AD" w:rsidRPr="00B30BC5" w:rsidRDefault="000C6417" w:rsidP="00B30BC5">
      <w:pPr>
        <w:pStyle w:val="ListParagraph"/>
        <w:ind w:left="0"/>
        <w:jc w:val="both"/>
      </w:pPr>
      <w:bookmarkStart w:id="44"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w:t>
      </w:r>
      <w:r w:rsidR="00B30BC5">
        <w:t xml:space="preserve"> vrijednost ostavlja se prazno.</w:t>
      </w:r>
    </w:p>
    <w:p w14:paraId="72BA312E" w14:textId="31D929AB" w:rsidR="004B69AD" w:rsidRDefault="004B69AD" w:rsidP="00FE78BC">
      <w:pPr>
        <w:pStyle w:val="Azrastil"/>
        <w:jc w:val="both"/>
        <w:rPr>
          <w:rFonts w:cs="Tahoma"/>
          <w:szCs w:val="20"/>
          <w:lang w:val="pl-PL"/>
        </w:rPr>
      </w:pPr>
      <w:r w:rsidRPr="000C6417">
        <w:rPr>
          <w:rFonts w:cs="Tahoma"/>
          <w:b/>
          <w:szCs w:val="20"/>
          <w:lang w:val="pl-PL"/>
        </w:rPr>
        <w:t>Odabir za kriterij je eko</w:t>
      </w:r>
      <w:r w:rsidR="00613A2D">
        <w:rPr>
          <w:rFonts w:cs="Tahoma"/>
          <w:b/>
          <w:szCs w:val="20"/>
          <w:lang w:val="pl-PL"/>
        </w:rPr>
        <w:t>nomski najpovoljnija ponuda (10</w:t>
      </w:r>
      <w:r w:rsidR="008B49D7">
        <w:rPr>
          <w:rFonts w:cs="Tahoma"/>
          <w:b/>
          <w:szCs w:val="20"/>
          <w:lang w:val="pl-PL"/>
        </w:rPr>
        <w:t>0</w:t>
      </w:r>
      <w:r w:rsidRPr="000C6417">
        <w:rPr>
          <w:rFonts w:cs="Tahoma"/>
          <w:b/>
          <w:szCs w:val="20"/>
          <w:lang w:val="pl-PL"/>
        </w:rPr>
        <w:t>% kriterija čini cijena</w:t>
      </w:r>
      <w:r w:rsidR="008B49D7">
        <w:rPr>
          <w:rFonts w:cs="Tahoma"/>
          <w:b/>
          <w:szCs w:val="20"/>
          <w:lang w:val="pl-PL"/>
        </w:rPr>
        <w:t>, 30% kriterija čini jamstveni rok</w:t>
      </w:r>
      <w:r w:rsidRPr="000C6417">
        <w:rPr>
          <w:rFonts w:cs="Tahoma"/>
          <w:b/>
          <w:szCs w:val="20"/>
          <w:lang w:val="pl-PL"/>
        </w:rPr>
        <w:t>)</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5D475C93" w:rsidR="004B69AD" w:rsidRPr="004B69AD" w:rsidRDefault="00AA7B93"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3E837A11" w:rsidR="004B69AD" w:rsidRPr="004B69AD" w:rsidRDefault="00AA7B93"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166CE986" w:rsidR="004B69AD" w:rsidRPr="004B69AD" w:rsidRDefault="00613A2D" w:rsidP="00B822B0">
            <w:pPr>
              <w:pStyle w:val="ListParagraph"/>
              <w:ind w:left="0"/>
              <w:jc w:val="center"/>
              <w:rPr>
                <w:rFonts w:eastAsia="Garamond" w:cstheme="minorHAnsi"/>
                <w:szCs w:val="20"/>
              </w:rPr>
            </w:pPr>
            <w:r>
              <w:rPr>
                <w:rFonts w:eastAsia="Garamond" w:cstheme="minorHAnsi"/>
                <w:szCs w:val="20"/>
              </w:rPr>
              <w:t>-</w:t>
            </w:r>
          </w:p>
        </w:tc>
        <w:tc>
          <w:tcPr>
            <w:tcW w:w="1701" w:type="dxa"/>
            <w:tcBorders>
              <w:top w:val="single" w:sz="6" w:space="0" w:color="000000"/>
              <w:left w:val="single" w:sz="6" w:space="0" w:color="000000"/>
              <w:bottom w:val="nil"/>
              <w:right w:val="single" w:sz="6" w:space="0" w:color="000000"/>
            </w:tcBorders>
            <w:vAlign w:val="center"/>
            <w:hideMark/>
          </w:tcPr>
          <w:p w14:paraId="6C8373F3" w14:textId="5C1382DE" w:rsidR="004B69AD" w:rsidRPr="004B69AD" w:rsidRDefault="008B49D7" w:rsidP="00C94A6E">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5ABEE664" w:rsidR="004B69AD" w:rsidRPr="004B69AD" w:rsidRDefault="00FF60D5" w:rsidP="00B822B0">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642DD4D" w14:textId="61464787" w:rsidR="00C94A6E"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5" w:name="_Hlk47610845"/>
      <w:bookmarkStart w:id="46" w:name="_Toc69823172"/>
      <w:bookmarkEnd w:id="41"/>
      <w:bookmarkEnd w:id="44"/>
      <w:r w:rsidRPr="00D37ACF">
        <w:rPr>
          <w:sz w:val="32"/>
        </w:rPr>
        <w:t xml:space="preserve">Način izrade </w:t>
      </w:r>
      <w:r w:rsidR="00D81860">
        <w:rPr>
          <w:sz w:val="32"/>
        </w:rPr>
        <w:t xml:space="preserve">i dostave </w:t>
      </w:r>
      <w:r w:rsidRPr="00D37ACF">
        <w:rPr>
          <w:sz w:val="32"/>
        </w:rPr>
        <w:t>ponude</w:t>
      </w:r>
      <w:bookmarkEnd w:id="46"/>
    </w:p>
    <w:bookmarkEnd w:id="45"/>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7"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lastRenderedPageBreak/>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7"/>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8" w:name="_Hlk47610929"/>
      <w:bookmarkStart w:id="49" w:name="_Toc69823173"/>
      <w:r w:rsidRPr="00D37ACF">
        <w:rPr>
          <w:sz w:val="32"/>
        </w:rPr>
        <w:t>Rok valjanosti ponude</w:t>
      </w:r>
      <w:bookmarkEnd w:id="49"/>
    </w:p>
    <w:bookmarkEnd w:id="48"/>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50" w:name="_Hlk47610946"/>
      <w:bookmarkStart w:id="51" w:name="_Toc69823174"/>
      <w:r w:rsidRPr="00D37ACF">
        <w:rPr>
          <w:sz w:val="32"/>
        </w:rPr>
        <w:t>Rok za dostavu ponuda</w:t>
      </w:r>
      <w:bookmarkEnd w:id="51"/>
    </w:p>
    <w:p w14:paraId="785202C3" w14:textId="7DA8D992" w:rsidR="00CD740A" w:rsidRPr="00D37ACF" w:rsidRDefault="00C94A6E" w:rsidP="00FE78BC">
      <w:pPr>
        <w:pStyle w:val="Azrastil"/>
        <w:jc w:val="both"/>
        <w:rPr>
          <w:rFonts w:cs="Tahoma"/>
          <w:szCs w:val="20"/>
          <w:lang w:val="pl-PL"/>
        </w:rPr>
      </w:pPr>
      <w:bookmarkStart w:id="52" w:name="_Hlk47611064"/>
      <w:bookmarkEnd w:id="50"/>
      <w:r w:rsidRPr="00821E0A">
        <w:rPr>
          <w:rFonts w:cs="Tahoma"/>
          <w:b/>
          <w:bCs/>
          <w:szCs w:val="20"/>
          <w:lang w:val="pl-PL"/>
        </w:rPr>
        <w:t>2</w:t>
      </w:r>
      <w:r w:rsidR="00821E0A">
        <w:rPr>
          <w:rFonts w:cs="Tahoma"/>
          <w:b/>
          <w:bCs/>
          <w:szCs w:val="20"/>
          <w:lang w:val="pl-PL"/>
        </w:rPr>
        <w:t>7.04</w:t>
      </w:r>
      <w:r w:rsidR="00FD341C" w:rsidRPr="00821E0A">
        <w:rPr>
          <w:rFonts w:cs="Tahoma"/>
          <w:b/>
          <w:bCs/>
          <w:szCs w:val="20"/>
          <w:lang w:val="pl-PL"/>
        </w:rPr>
        <w:t>.2021</w:t>
      </w:r>
      <w:r w:rsidR="00CD740A" w:rsidRPr="00821E0A">
        <w:rPr>
          <w:rFonts w:cs="Tahoma"/>
          <w:b/>
          <w:bCs/>
          <w:szCs w:val="20"/>
          <w:lang w:val="pl-PL"/>
        </w:rPr>
        <w:t>. godine do 1</w:t>
      </w:r>
      <w:r w:rsidR="00A16DBF" w:rsidRPr="00821E0A">
        <w:rPr>
          <w:rFonts w:cs="Tahoma"/>
          <w:b/>
          <w:bCs/>
          <w:szCs w:val="20"/>
          <w:lang w:val="pl-PL"/>
        </w:rPr>
        <w:t>2</w:t>
      </w:r>
      <w:r w:rsidR="00CD740A" w:rsidRPr="00821E0A">
        <w:rPr>
          <w:rFonts w:cs="Tahoma"/>
          <w:b/>
          <w:bCs/>
          <w:szCs w:val="20"/>
          <w:lang w:val="pl-PL"/>
        </w:rPr>
        <w:t>:00 sati</w:t>
      </w:r>
      <w:r w:rsidR="00CD740A" w:rsidRPr="00821E0A">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Hlk47611397"/>
      <w:bookmarkStart w:id="55" w:name="_Toc69823175"/>
      <w:r>
        <w:rPr>
          <w:sz w:val="32"/>
        </w:rPr>
        <w:t>Izmjene i dopune</w:t>
      </w:r>
      <w:bookmarkEnd w:id="55"/>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4"/>
    </w:p>
    <w:p w14:paraId="4BDC48D4" w14:textId="73553E3B" w:rsidR="004C7286" w:rsidRPr="00D37ACF" w:rsidRDefault="004C7286" w:rsidP="00FE78BC">
      <w:pPr>
        <w:pStyle w:val="Style2"/>
        <w:ind w:hanging="720"/>
        <w:jc w:val="both"/>
        <w:rPr>
          <w:sz w:val="32"/>
        </w:rPr>
      </w:pPr>
      <w:bookmarkStart w:id="56" w:name="_Toc69823176"/>
      <w:r w:rsidRPr="00D37ACF">
        <w:rPr>
          <w:sz w:val="32"/>
        </w:rPr>
        <w:lastRenderedPageBreak/>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6D629F30" w14:textId="08BD9D21" w:rsidR="00C94A6E"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60" w:name="_Toc69823177"/>
      <w:r w:rsidRPr="00D37ACF">
        <w:rPr>
          <w:sz w:val="32"/>
        </w:rPr>
        <w:t>J</w:t>
      </w:r>
      <w:r w:rsidR="00763A69" w:rsidRPr="00D37ACF">
        <w:rPr>
          <w:sz w:val="32"/>
        </w:rPr>
        <w:t>amstva</w:t>
      </w:r>
      <w:bookmarkEnd w:id="60"/>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3624DE3" w14:textId="6322B62B" w:rsidR="00CF79F7" w:rsidRDefault="00D150CA" w:rsidP="00D150CA">
      <w:pPr>
        <w:spacing w:after="0"/>
        <w:jc w:val="both"/>
        <w:rPr>
          <w:rFonts w:cstheme="minorHAnsi"/>
        </w:rPr>
      </w:pPr>
      <w:r>
        <w:rPr>
          <w:rFonts w:cstheme="minorHAnsi"/>
        </w:rPr>
        <w:t>Naručitelj ovom Dokumentacijom ne traži jamstvo za ozbiljnost ponude.</w:t>
      </w:r>
    </w:p>
    <w:p w14:paraId="6F2186DC" w14:textId="4C2BE1A6" w:rsidR="00D01D13"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4A7C7F03" w14:textId="15245AB6" w:rsidR="00CF4BC5" w:rsidRPr="00CF4BC5" w:rsidRDefault="00CF4BC5" w:rsidP="00CF4BC5">
      <w:pPr>
        <w:pStyle w:val="Azrastil"/>
        <w:jc w:val="both"/>
        <w:rPr>
          <w:rFonts w:cs="Tahoma"/>
          <w:szCs w:val="20"/>
          <w:lang w:val="es-ES"/>
        </w:rPr>
      </w:pPr>
      <w:r w:rsidRPr="00CF4BC5">
        <w:rPr>
          <w:rFonts w:cs="Tahoma"/>
          <w:szCs w:val="20"/>
          <w:lang w:val="es-ES"/>
        </w:rPr>
        <w:t>Naručitelj ovom Dokumentacijom ne traži jamstvo za uredno ispunjenje ugovora.</w:t>
      </w:r>
    </w:p>
    <w:p w14:paraId="4F75CB39" w14:textId="11A1A8A0" w:rsidR="00E371D8"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64E2DB57" w14:textId="01C24446" w:rsidR="00AF2110" w:rsidRDefault="00B30BC5" w:rsidP="00B30BC5">
      <w:pPr>
        <w:pStyle w:val="Azrastil"/>
        <w:jc w:val="both"/>
        <w:rPr>
          <w:rFonts w:cs="Times New Roman"/>
          <w:bCs/>
          <w:szCs w:val="20"/>
        </w:rPr>
      </w:pPr>
      <w:r w:rsidRPr="00B30BC5">
        <w:rPr>
          <w:rFonts w:cs="Times New Roman"/>
          <w:bCs/>
          <w:szCs w:val="20"/>
        </w:rPr>
        <w:t>Naručitelj ovom Dokumentacijom ne traži jamstvo za otklanjanj</w:t>
      </w:r>
      <w:r>
        <w:rPr>
          <w:rFonts w:cs="Times New Roman"/>
          <w:bCs/>
          <w:szCs w:val="20"/>
        </w:rPr>
        <w:t>e nedostataka u jamstvenom roku</w:t>
      </w:r>
    </w:p>
    <w:p w14:paraId="14C1ED27" w14:textId="1E8AC316" w:rsidR="00CF4BC5" w:rsidRDefault="00CF4BC5" w:rsidP="00B30BC5">
      <w:pPr>
        <w:pStyle w:val="Azrastil"/>
        <w:jc w:val="both"/>
        <w:rPr>
          <w:rFonts w:cs="Times New Roman"/>
          <w:bCs/>
          <w:szCs w:val="20"/>
        </w:rPr>
      </w:pPr>
    </w:p>
    <w:p w14:paraId="4C6AE42E" w14:textId="0F01C69F" w:rsidR="00CF4BC5" w:rsidRDefault="00CF4BC5" w:rsidP="00B30BC5">
      <w:pPr>
        <w:pStyle w:val="Azrastil"/>
        <w:jc w:val="both"/>
        <w:rPr>
          <w:rFonts w:cs="Times New Roman"/>
          <w:bCs/>
          <w:szCs w:val="20"/>
        </w:rPr>
      </w:pPr>
    </w:p>
    <w:p w14:paraId="522D8040" w14:textId="24AF502A" w:rsidR="00CF4BC5" w:rsidRDefault="00CF4BC5" w:rsidP="00B30BC5">
      <w:pPr>
        <w:pStyle w:val="Azrastil"/>
        <w:jc w:val="both"/>
        <w:rPr>
          <w:rFonts w:cs="Times New Roman"/>
          <w:bCs/>
          <w:szCs w:val="20"/>
        </w:rPr>
      </w:pPr>
    </w:p>
    <w:p w14:paraId="74A32A4E" w14:textId="34CA20D3" w:rsidR="00CF4BC5" w:rsidRDefault="00CF4BC5" w:rsidP="00B30BC5">
      <w:pPr>
        <w:pStyle w:val="Azrastil"/>
        <w:jc w:val="both"/>
        <w:rPr>
          <w:rFonts w:cs="Times New Roman"/>
          <w:bCs/>
          <w:szCs w:val="20"/>
        </w:rPr>
      </w:pPr>
    </w:p>
    <w:p w14:paraId="495A0D2D" w14:textId="52A6F239" w:rsidR="00CF4BC5" w:rsidRDefault="00CF4BC5" w:rsidP="00B30BC5">
      <w:pPr>
        <w:pStyle w:val="Azrastil"/>
        <w:jc w:val="both"/>
        <w:rPr>
          <w:rFonts w:cs="Times New Roman"/>
          <w:bCs/>
          <w:szCs w:val="20"/>
        </w:rPr>
      </w:pPr>
    </w:p>
    <w:p w14:paraId="69A75A15" w14:textId="2310E6DA" w:rsidR="00CF4BC5" w:rsidRDefault="00CF4BC5" w:rsidP="00B30BC5">
      <w:pPr>
        <w:pStyle w:val="Azrastil"/>
        <w:jc w:val="both"/>
        <w:rPr>
          <w:rFonts w:cs="Times New Roman"/>
          <w:bCs/>
          <w:szCs w:val="20"/>
        </w:rPr>
      </w:pPr>
    </w:p>
    <w:p w14:paraId="5A75107C" w14:textId="04CDD421" w:rsidR="00CF4BC5" w:rsidRDefault="00CF4BC5" w:rsidP="00B30BC5">
      <w:pPr>
        <w:pStyle w:val="Azrastil"/>
        <w:jc w:val="both"/>
        <w:rPr>
          <w:rFonts w:cs="Times New Roman"/>
          <w:bCs/>
          <w:szCs w:val="20"/>
        </w:rPr>
      </w:pPr>
    </w:p>
    <w:p w14:paraId="674F9BAD" w14:textId="7CDFD15B" w:rsidR="00CF4BC5" w:rsidRDefault="00CF4BC5" w:rsidP="00B30BC5">
      <w:pPr>
        <w:pStyle w:val="Azrastil"/>
        <w:jc w:val="both"/>
        <w:rPr>
          <w:rFonts w:cs="Times New Roman"/>
          <w:bCs/>
          <w:szCs w:val="20"/>
        </w:rPr>
      </w:pPr>
    </w:p>
    <w:p w14:paraId="316F8A31" w14:textId="27548770" w:rsidR="00CF4BC5" w:rsidRDefault="00CF4BC5" w:rsidP="00B30BC5">
      <w:pPr>
        <w:pStyle w:val="Azrastil"/>
        <w:jc w:val="both"/>
        <w:rPr>
          <w:rFonts w:cs="Times New Roman"/>
          <w:bCs/>
          <w:szCs w:val="20"/>
        </w:rPr>
      </w:pPr>
    </w:p>
    <w:p w14:paraId="70DC8F54" w14:textId="0DCBD120" w:rsidR="00CF4BC5" w:rsidRDefault="00CF4BC5" w:rsidP="00B30BC5">
      <w:pPr>
        <w:pStyle w:val="Azrastil"/>
        <w:jc w:val="both"/>
        <w:rPr>
          <w:rFonts w:cs="Times New Roman"/>
          <w:bCs/>
          <w:szCs w:val="20"/>
        </w:rPr>
      </w:pPr>
    </w:p>
    <w:p w14:paraId="5F227098" w14:textId="15CB98EE" w:rsidR="00CF4BC5" w:rsidRDefault="00CF4BC5" w:rsidP="00B30BC5">
      <w:pPr>
        <w:pStyle w:val="Azrastil"/>
        <w:jc w:val="both"/>
        <w:rPr>
          <w:rFonts w:cs="Times New Roman"/>
          <w:bCs/>
          <w:szCs w:val="20"/>
        </w:rPr>
      </w:pPr>
    </w:p>
    <w:p w14:paraId="3EB68CA5" w14:textId="187BBAE4" w:rsidR="00CF4BC5" w:rsidRDefault="00CF4BC5" w:rsidP="00B30BC5">
      <w:pPr>
        <w:pStyle w:val="Azrastil"/>
        <w:jc w:val="both"/>
        <w:rPr>
          <w:rFonts w:cs="Times New Roman"/>
          <w:bCs/>
          <w:szCs w:val="20"/>
        </w:rPr>
      </w:pPr>
    </w:p>
    <w:p w14:paraId="5DBD79E5" w14:textId="55B70237" w:rsidR="00CF4BC5" w:rsidRDefault="00CF4BC5" w:rsidP="00B30BC5">
      <w:pPr>
        <w:pStyle w:val="Azrastil"/>
        <w:jc w:val="both"/>
        <w:rPr>
          <w:rFonts w:cs="Times New Roman"/>
          <w:bCs/>
          <w:szCs w:val="20"/>
        </w:rPr>
      </w:pPr>
    </w:p>
    <w:p w14:paraId="68DCEB38" w14:textId="477606D5" w:rsidR="00CF4BC5" w:rsidRDefault="00CF4BC5" w:rsidP="00B30BC5">
      <w:pPr>
        <w:pStyle w:val="Azrastil"/>
        <w:jc w:val="both"/>
        <w:rPr>
          <w:rFonts w:cs="Times New Roman"/>
          <w:bCs/>
          <w:szCs w:val="20"/>
        </w:rPr>
      </w:pPr>
    </w:p>
    <w:p w14:paraId="15F1074D" w14:textId="443A5986" w:rsidR="00CF4BC5" w:rsidRDefault="00CF4BC5" w:rsidP="00B30BC5">
      <w:pPr>
        <w:pStyle w:val="Azrastil"/>
        <w:jc w:val="both"/>
        <w:rPr>
          <w:rFonts w:cs="Times New Roman"/>
          <w:bCs/>
          <w:szCs w:val="20"/>
        </w:rPr>
      </w:pPr>
    </w:p>
    <w:p w14:paraId="0D893091" w14:textId="05FE5540" w:rsidR="00CF4BC5" w:rsidRDefault="00CF4BC5" w:rsidP="00B30BC5">
      <w:pPr>
        <w:pStyle w:val="Azrastil"/>
        <w:jc w:val="both"/>
        <w:rPr>
          <w:rFonts w:cs="Times New Roman"/>
          <w:bCs/>
          <w:szCs w:val="20"/>
        </w:rPr>
      </w:pPr>
    </w:p>
    <w:p w14:paraId="09192F53" w14:textId="2633DE29" w:rsidR="00CF4BC5" w:rsidRDefault="00CF4BC5" w:rsidP="00B30BC5">
      <w:pPr>
        <w:pStyle w:val="Azrastil"/>
        <w:jc w:val="both"/>
        <w:rPr>
          <w:rFonts w:cs="Times New Roman"/>
          <w:bCs/>
          <w:szCs w:val="20"/>
        </w:rPr>
      </w:pPr>
    </w:p>
    <w:p w14:paraId="2EDE8890" w14:textId="31D328CF" w:rsidR="00CF4BC5" w:rsidRDefault="00CF4BC5" w:rsidP="00B30BC5">
      <w:pPr>
        <w:pStyle w:val="Azrastil"/>
        <w:jc w:val="both"/>
        <w:rPr>
          <w:rFonts w:cs="Times New Roman"/>
          <w:bCs/>
          <w:szCs w:val="20"/>
        </w:rPr>
      </w:pPr>
    </w:p>
    <w:p w14:paraId="0CD15163" w14:textId="68378072" w:rsidR="00CF4BC5" w:rsidRDefault="00CF4BC5" w:rsidP="00B30BC5">
      <w:pPr>
        <w:pStyle w:val="Azrastil"/>
        <w:jc w:val="both"/>
        <w:rPr>
          <w:rFonts w:cs="Times New Roman"/>
          <w:bCs/>
          <w:szCs w:val="20"/>
        </w:rPr>
      </w:pPr>
    </w:p>
    <w:p w14:paraId="34479624" w14:textId="77777777" w:rsidR="00CF4BC5" w:rsidRPr="00B30BC5" w:rsidRDefault="00CF4BC5" w:rsidP="00B30BC5">
      <w:pPr>
        <w:pStyle w:val="Azrastil"/>
        <w:jc w:val="both"/>
        <w:rPr>
          <w:rFonts w:cs="Times New Roman"/>
          <w:bCs/>
          <w:szCs w:val="20"/>
        </w:rPr>
      </w:pPr>
    </w:p>
    <w:p w14:paraId="21A866C1" w14:textId="124D36FF" w:rsidR="003C44D0" w:rsidRPr="00B30BC5" w:rsidRDefault="001875B2" w:rsidP="00AB2FDA">
      <w:pPr>
        <w:pStyle w:val="Style1"/>
        <w:ind w:hanging="720"/>
        <w:rPr>
          <w:sz w:val="32"/>
        </w:rPr>
      </w:pPr>
      <w:bookmarkStart w:id="61" w:name="_Toc69823178"/>
      <w:bookmarkEnd w:id="59"/>
      <w:r w:rsidRPr="00D37ACF">
        <w:rPr>
          <w:sz w:val="32"/>
        </w:rPr>
        <w:lastRenderedPageBreak/>
        <w:t>Prilog 1</w:t>
      </w:r>
      <w:r w:rsidR="00584164" w:rsidRPr="00D37ACF">
        <w:rPr>
          <w:sz w:val="32"/>
        </w:rPr>
        <w:t xml:space="preserve"> – Ponudbeni list</w:t>
      </w:r>
      <w:bookmarkEnd w:id="61"/>
      <w:r w:rsidR="003C44D0" w:rsidRPr="00D37ACF">
        <w:rPr>
          <w:sz w:val="32"/>
        </w:rPr>
        <w:tab/>
        <w:t xml:space="preserve">                                                      </w:t>
      </w:r>
    </w:p>
    <w:p w14:paraId="7FD97A3E" w14:textId="19EF2151" w:rsidR="003C44D0" w:rsidRPr="00AA7B93"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w:t>
      </w:r>
      <w:r w:rsidR="00A75E9D">
        <w:rPr>
          <w:sz w:val="20"/>
          <w:szCs w:val="20"/>
        </w:rPr>
        <w:t xml:space="preserve"> navedene u ponudi i </w:t>
      </w:r>
      <w:r w:rsidR="00A75E9D" w:rsidRPr="00A75E9D">
        <w:rPr>
          <w:sz w:val="20"/>
          <w:szCs w:val="20"/>
        </w:rPr>
        <w:t>troškovnik</w:t>
      </w:r>
      <w:r w:rsidR="00AA7B93">
        <w:rPr>
          <w:b/>
          <w:sz w:val="24"/>
          <w:szCs w:val="24"/>
        </w:rPr>
        <w:t xml:space="preserve"> </w:t>
      </w:r>
      <w:r w:rsidR="00AA7B93" w:rsidRPr="00AA7B93">
        <w:rPr>
          <w:b/>
          <w:sz w:val="20"/>
          <w:szCs w:val="20"/>
        </w:rPr>
        <w:t>Održavanje agregata</w:t>
      </w:r>
      <w:r w:rsidR="00C1365B" w:rsidRPr="00AA7B93">
        <w:rPr>
          <w:b/>
          <w:sz w:val="20"/>
          <w:szCs w:val="20"/>
        </w:rPr>
        <w:t xml:space="preserve">, </w:t>
      </w:r>
      <w:r w:rsidRPr="00AA7B93">
        <w:rPr>
          <w:b/>
          <w:sz w:val="20"/>
          <w:szCs w:val="20"/>
        </w:rPr>
        <w:t xml:space="preserve">Ev.broj: </w:t>
      </w:r>
      <w:r w:rsidR="00AA7B93">
        <w:rPr>
          <w:b/>
          <w:sz w:val="20"/>
          <w:szCs w:val="20"/>
        </w:rPr>
        <w:t>18</w:t>
      </w:r>
      <w:r w:rsidR="00766A67" w:rsidRPr="00AA7B93">
        <w:rPr>
          <w:b/>
          <w:sz w:val="20"/>
          <w:szCs w:val="20"/>
        </w:rPr>
        <w:t>/2021</w:t>
      </w:r>
      <w:r w:rsidRPr="00AA7B93">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821E0A"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09A9313" w:rsidR="00C20462" w:rsidRPr="00FB1740" w:rsidRDefault="00C20462" w:rsidP="00AB2FDA">
      <w:pPr>
        <w:pStyle w:val="Azrastil"/>
        <w:rPr>
          <w:sz w:val="20"/>
          <w:szCs w:val="20"/>
        </w:rPr>
      </w:pPr>
      <w:r w:rsidRPr="00FB1740">
        <w:rPr>
          <w:sz w:val="20"/>
          <w:szCs w:val="20"/>
        </w:rPr>
        <w:t>U  ________________</w:t>
      </w:r>
      <w:r w:rsidR="00132AD7">
        <w:rPr>
          <w:sz w:val="20"/>
          <w:szCs w:val="20"/>
        </w:rPr>
        <w:t>____________,  ____________ 2021</w:t>
      </w:r>
      <w:r w:rsidRPr="00FB1740">
        <w:rPr>
          <w:sz w:val="20"/>
          <w:szCs w:val="20"/>
        </w:rPr>
        <w:t xml:space="preserve">. god. </w:t>
      </w:r>
    </w:p>
    <w:p w14:paraId="7392E899" w14:textId="77777777" w:rsidR="00B30BC5"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w:t>
      </w:r>
    </w:p>
    <w:p w14:paraId="6426E57C" w14:textId="2711150D" w:rsidR="00190685" w:rsidRDefault="00C20462" w:rsidP="00AB2FDA">
      <w:pPr>
        <w:pStyle w:val="Azrastil"/>
        <w:rPr>
          <w:i/>
          <w:sz w:val="16"/>
          <w:szCs w:val="18"/>
        </w:rPr>
      </w:pPr>
      <w:r w:rsidRPr="00FB1740">
        <w:rPr>
          <w:i/>
          <w:sz w:val="16"/>
          <w:szCs w:val="18"/>
        </w:rPr>
        <w:t>prazno.</w:t>
      </w:r>
    </w:p>
    <w:p w14:paraId="55615EE0" w14:textId="4BC2F508" w:rsidR="00B30BC5" w:rsidRDefault="00B30BC5" w:rsidP="00AB2FDA">
      <w:pPr>
        <w:pStyle w:val="Azrastil"/>
        <w:rPr>
          <w:i/>
          <w:sz w:val="16"/>
          <w:szCs w:val="18"/>
        </w:rPr>
      </w:pPr>
    </w:p>
    <w:p w14:paraId="113F0F66" w14:textId="0E6E9777" w:rsidR="00B30BC5" w:rsidRDefault="00B30BC5" w:rsidP="00AB2FDA">
      <w:pPr>
        <w:pStyle w:val="Azrastil"/>
        <w:rPr>
          <w:i/>
          <w:sz w:val="16"/>
          <w:szCs w:val="18"/>
        </w:rPr>
      </w:pPr>
    </w:p>
    <w:p w14:paraId="43B55A31" w14:textId="3564A7D3" w:rsidR="00B30BC5" w:rsidRDefault="00B30BC5" w:rsidP="00AB2FDA">
      <w:pPr>
        <w:pStyle w:val="Azrastil"/>
        <w:rPr>
          <w:i/>
          <w:sz w:val="16"/>
          <w:szCs w:val="18"/>
        </w:rPr>
      </w:pPr>
    </w:p>
    <w:p w14:paraId="71870A50" w14:textId="022FF447" w:rsidR="00B30BC5" w:rsidRDefault="00B30BC5" w:rsidP="00AB2FDA">
      <w:pPr>
        <w:pStyle w:val="Azrastil"/>
        <w:rPr>
          <w:i/>
          <w:sz w:val="16"/>
          <w:szCs w:val="18"/>
        </w:rPr>
      </w:pPr>
    </w:p>
    <w:p w14:paraId="412970CC" w14:textId="63B34FA2" w:rsidR="00B30BC5" w:rsidRPr="00B30BC5" w:rsidRDefault="00B30BC5" w:rsidP="00B30BC5">
      <w:pPr>
        <w:pStyle w:val="Style1"/>
        <w:rPr>
          <w:sz w:val="32"/>
          <w:szCs w:val="32"/>
        </w:rPr>
      </w:pPr>
      <w:bookmarkStart w:id="62" w:name="_Toc69823179"/>
      <w:r w:rsidRPr="00B30BC5">
        <w:rPr>
          <w:sz w:val="32"/>
          <w:szCs w:val="32"/>
        </w:rPr>
        <w:lastRenderedPageBreak/>
        <w:t>Prilog 2 - Troškovnik</w:t>
      </w:r>
      <w:bookmarkEnd w:id="62"/>
      <w:r w:rsidRPr="00B30BC5">
        <w:rPr>
          <w:sz w:val="32"/>
          <w:szCs w:val="32"/>
        </w:rPr>
        <w:tab/>
        <w:t xml:space="preserve">                                                      </w:t>
      </w:r>
    </w:p>
    <w:p w14:paraId="04BB0BC2" w14:textId="17F13CBE" w:rsidR="00B30BC5" w:rsidRDefault="00B30BC5" w:rsidP="00AB2FDA">
      <w:pPr>
        <w:pStyle w:val="Azrastil"/>
        <w:rPr>
          <w:i/>
          <w:sz w:val="16"/>
          <w:szCs w:val="18"/>
        </w:rPr>
      </w:pPr>
    </w:p>
    <w:p w14:paraId="5CE24152" w14:textId="1D9810BD" w:rsidR="00B30BC5" w:rsidRDefault="00B30BC5" w:rsidP="00AB2FDA">
      <w:pPr>
        <w:pStyle w:val="Azrastil"/>
        <w:rPr>
          <w:i/>
          <w:sz w:val="16"/>
          <w:szCs w:val="18"/>
        </w:rPr>
      </w:pPr>
    </w:p>
    <w:tbl>
      <w:tblPr>
        <w:tblpPr w:leftFromText="180" w:rightFromText="180" w:vertAnchor="page" w:horzAnchor="margin" w:tblpY="2236"/>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288"/>
        <w:gridCol w:w="1112"/>
        <w:gridCol w:w="1138"/>
        <w:gridCol w:w="1840"/>
        <w:gridCol w:w="2129"/>
      </w:tblGrid>
      <w:tr w:rsidR="00B30BC5" w:rsidRPr="002203BF" w14:paraId="09DC85DA" w14:textId="77777777" w:rsidTr="00B30BC5">
        <w:trPr>
          <w:trHeight w:val="497"/>
        </w:trPr>
        <w:tc>
          <w:tcPr>
            <w:tcW w:w="709" w:type="dxa"/>
            <w:vMerge w:val="restart"/>
            <w:vAlign w:val="center"/>
          </w:tcPr>
          <w:p w14:paraId="13E4EA25" w14:textId="77777777" w:rsidR="00B30BC5" w:rsidRPr="00EF6D99" w:rsidRDefault="00B30BC5" w:rsidP="00B30BC5">
            <w:pPr>
              <w:jc w:val="center"/>
              <w:rPr>
                <w:rFonts w:ascii="Tahoma" w:hAnsi="Tahoma" w:cs="Tahoma"/>
                <w:b/>
                <w:bCs/>
                <w:sz w:val="20"/>
                <w:szCs w:val="20"/>
              </w:rPr>
            </w:pPr>
            <w:r w:rsidRPr="00EF6D99">
              <w:rPr>
                <w:rFonts w:ascii="Tahoma" w:hAnsi="Tahoma" w:cs="Tahoma"/>
                <w:b/>
                <w:bCs/>
                <w:sz w:val="20"/>
                <w:szCs w:val="20"/>
              </w:rPr>
              <w:t>Broj</w:t>
            </w:r>
          </w:p>
        </w:tc>
        <w:tc>
          <w:tcPr>
            <w:tcW w:w="3288" w:type="dxa"/>
            <w:vMerge w:val="restart"/>
            <w:vAlign w:val="center"/>
          </w:tcPr>
          <w:p w14:paraId="4FF73C59" w14:textId="77777777" w:rsidR="00B30BC5" w:rsidRPr="00EF6D99" w:rsidRDefault="00B30BC5" w:rsidP="00B30BC5">
            <w:pPr>
              <w:spacing w:after="0"/>
              <w:jc w:val="center"/>
              <w:rPr>
                <w:rFonts w:ascii="Tahoma" w:hAnsi="Tahoma" w:cs="Tahoma"/>
                <w:b/>
                <w:bCs/>
                <w:sz w:val="20"/>
                <w:szCs w:val="20"/>
              </w:rPr>
            </w:pPr>
            <w:r w:rsidRPr="00EF6D99">
              <w:rPr>
                <w:rFonts w:ascii="Tahoma" w:hAnsi="Tahoma" w:cs="Tahoma"/>
                <w:b/>
                <w:bCs/>
                <w:sz w:val="20"/>
                <w:szCs w:val="20"/>
              </w:rPr>
              <w:t>Naziv</w:t>
            </w:r>
          </w:p>
        </w:tc>
        <w:tc>
          <w:tcPr>
            <w:tcW w:w="1112" w:type="dxa"/>
            <w:vMerge w:val="restart"/>
            <w:vAlign w:val="center"/>
          </w:tcPr>
          <w:p w14:paraId="5AD2F0EE" w14:textId="77777777" w:rsidR="00B30BC5" w:rsidRPr="00EF6D99" w:rsidRDefault="00B30BC5" w:rsidP="00B30BC5">
            <w:pPr>
              <w:spacing w:after="0"/>
              <w:jc w:val="center"/>
              <w:rPr>
                <w:rFonts w:ascii="Tahoma" w:hAnsi="Tahoma" w:cs="Tahoma"/>
                <w:b/>
                <w:bCs/>
                <w:sz w:val="20"/>
                <w:szCs w:val="20"/>
              </w:rPr>
            </w:pPr>
            <w:r w:rsidRPr="00EF6D99">
              <w:rPr>
                <w:rFonts w:ascii="Tahoma" w:hAnsi="Tahoma" w:cs="Tahoma"/>
                <w:b/>
                <w:bCs/>
                <w:sz w:val="20"/>
                <w:szCs w:val="20"/>
              </w:rPr>
              <w:t>Jedinica mjere</w:t>
            </w:r>
          </w:p>
        </w:tc>
        <w:tc>
          <w:tcPr>
            <w:tcW w:w="1138" w:type="dxa"/>
            <w:vMerge w:val="restart"/>
            <w:vAlign w:val="center"/>
          </w:tcPr>
          <w:p w14:paraId="6971C90E" w14:textId="77777777" w:rsidR="00B30BC5" w:rsidRPr="00EF6D99" w:rsidRDefault="00B30BC5" w:rsidP="00B30BC5">
            <w:pPr>
              <w:spacing w:after="0"/>
              <w:jc w:val="center"/>
              <w:rPr>
                <w:rFonts w:ascii="Tahoma" w:hAnsi="Tahoma" w:cs="Tahoma"/>
                <w:b/>
                <w:bCs/>
                <w:sz w:val="20"/>
                <w:szCs w:val="20"/>
              </w:rPr>
            </w:pPr>
            <w:r w:rsidRPr="00EF6D99">
              <w:rPr>
                <w:rFonts w:ascii="Tahoma" w:hAnsi="Tahoma" w:cs="Tahoma"/>
                <w:b/>
                <w:bCs/>
                <w:sz w:val="20"/>
                <w:szCs w:val="20"/>
              </w:rPr>
              <w:t>Količina</w:t>
            </w:r>
          </w:p>
        </w:tc>
        <w:tc>
          <w:tcPr>
            <w:tcW w:w="1840" w:type="dxa"/>
            <w:vMerge w:val="restart"/>
            <w:vAlign w:val="center"/>
          </w:tcPr>
          <w:p w14:paraId="4D3AFBD2" w14:textId="77777777" w:rsidR="00B30BC5" w:rsidRPr="00EF6D99" w:rsidRDefault="00B30BC5" w:rsidP="00B30BC5">
            <w:pPr>
              <w:spacing w:after="0"/>
              <w:jc w:val="center"/>
              <w:rPr>
                <w:rFonts w:ascii="Tahoma" w:hAnsi="Tahoma" w:cs="Tahoma"/>
                <w:b/>
                <w:bCs/>
                <w:sz w:val="20"/>
                <w:szCs w:val="20"/>
              </w:rPr>
            </w:pPr>
            <w:r w:rsidRPr="00EF6D99">
              <w:rPr>
                <w:rFonts w:ascii="Tahoma" w:hAnsi="Tahoma" w:cs="Tahoma"/>
                <w:b/>
                <w:bCs/>
                <w:sz w:val="20"/>
                <w:szCs w:val="20"/>
              </w:rPr>
              <w:t>Jedinična cijena bez PDV-a</w:t>
            </w:r>
          </w:p>
        </w:tc>
        <w:tc>
          <w:tcPr>
            <w:tcW w:w="2129" w:type="dxa"/>
            <w:vMerge w:val="restart"/>
            <w:vAlign w:val="center"/>
          </w:tcPr>
          <w:p w14:paraId="6ADB8A0B" w14:textId="77777777" w:rsidR="00B30BC5" w:rsidRPr="00EF6D99" w:rsidRDefault="00B30BC5" w:rsidP="00B30BC5">
            <w:pPr>
              <w:spacing w:after="0" w:line="240" w:lineRule="auto"/>
              <w:jc w:val="center"/>
              <w:rPr>
                <w:rFonts w:ascii="Tahoma" w:hAnsi="Tahoma" w:cs="Tahoma"/>
                <w:b/>
                <w:bCs/>
                <w:sz w:val="20"/>
                <w:szCs w:val="20"/>
              </w:rPr>
            </w:pPr>
            <w:r w:rsidRPr="00EF6D99">
              <w:rPr>
                <w:rFonts w:ascii="Tahoma" w:hAnsi="Tahoma" w:cs="Tahoma"/>
                <w:b/>
                <w:bCs/>
                <w:sz w:val="20"/>
                <w:szCs w:val="20"/>
              </w:rPr>
              <w:t>Ukupna cijena s</w:t>
            </w:r>
          </w:p>
          <w:p w14:paraId="034BB146" w14:textId="77777777" w:rsidR="00B30BC5" w:rsidRPr="00EF6D99" w:rsidRDefault="00B30BC5" w:rsidP="00B30BC5">
            <w:pPr>
              <w:spacing w:before="120" w:after="0" w:line="240" w:lineRule="auto"/>
              <w:jc w:val="center"/>
              <w:rPr>
                <w:rFonts w:ascii="Tahoma" w:hAnsi="Tahoma" w:cs="Tahoma"/>
                <w:b/>
                <w:bCs/>
                <w:sz w:val="20"/>
                <w:szCs w:val="20"/>
              </w:rPr>
            </w:pPr>
            <w:r w:rsidRPr="00EF6D99">
              <w:rPr>
                <w:rFonts w:ascii="Tahoma" w:hAnsi="Tahoma" w:cs="Tahoma"/>
                <w:b/>
                <w:bCs/>
                <w:sz w:val="20"/>
                <w:szCs w:val="20"/>
              </w:rPr>
              <w:t>PDV-om</w:t>
            </w:r>
          </w:p>
        </w:tc>
      </w:tr>
      <w:tr w:rsidR="00B30BC5" w:rsidRPr="002203BF" w14:paraId="7C05D560" w14:textId="77777777" w:rsidTr="00B30BC5">
        <w:trPr>
          <w:trHeight w:val="478"/>
        </w:trPr>
        <w:tc>
          <w:tcPr>
            <w:tcW w:w="709" w:type="dxa"/>
            <w:vMerge/>
            <w:vAlign w:val="center"/>
          </w:tcPr>
          <w:p w14:paraId="6C07B13F" w14:textId="77777777" w:rsidR="00B30BC5" w:rsidRPr="002203BF" w:rsidRDefault="00B30BC5" w:rsidP="00B30BC5">
            <w:pPr>
              <w:jc w:val="center"/>
              <w:rPr>
                <w:rFonts w:ascii="Tahoma" w:hAnsi="Tahoma" w:cs="Tahoma"/>
                <w:sz w:val="20"/>
                <w:szCs w:val="20"/>
              </w:rPr>
            </w:pPr>
          </w:p>
        </w:tc>
        <w:tc>
          <w:tcPr>
            <w:tcW w:w="3288" w:type="dxa"/>
            <w:vMerge/>
            <w:vAlign w:val="center"/>
          </w:tcPr>
          <w:p w14:paraId="7E279F6E" w14:textId="77777777" w:rsidR="00B30BC5" w:rsidRPr="002203BF" w:rsidRDefault="00B30BC5" w:rsidP="00B30BC5">
            <w:pPr>
              <w:jc w:val="center"/>
              <w:rPr>
                <w:rFonts w:ascii="Tahoma" w:hAnsi="Tahoma" w:cs="Tahoma"/>
                <w:sz w:val="20"/>
                <w:szCs w:val="20"/>
              </w:rPr>
            </w:pPr>
          </w:p>
        </w:tc>
        <w:tc>
          <w:tcPr>
            <w:tcW w:w="1112" w:type="dxa"/>
            <w:vMerge/>
            <w:vAlign w:val="center"/>
          </w:tcPr>
          <w:p w14:paraId="511C430F" w14:textId="77777777" w:rsidR="00B30BC5" w:rsidRPr="002203BF" w:rsidRDefault="00B30BC5" w:rsidP="00B30BC5">
            <w:pPr>
              <w:jc w:val="center"/>
              <w:rPr>
                <w:rFonts w:ascii="Tahoma" w:hAnsi="Tahoma" w:cs="Tahoma"/>
                <w:sz w:val="20"/>
                <w:szCs w:val="20"/>
              </w:rPr>
            </w:pPr>
          </w:p>
        </w:tc>
        <w:tc>
          <w:tcPr>
            <w:tcW w:w="1138" w:type="dxa"/>
            <w:vMerge/>
            <w:vAlign w:val="center"/>
          </w:tcPr>
          <w:p w14:paraId="44457948" w14:textId="77777777" w:rsidR="00B30BC5" w:rsidRPr="002203BF" w:rsidRDefault="00B30BC5" w:rsidP="00B30BC5">
            <w:pPr>
              <w:jc w:val="center"/>
              <w:rPr>
                <w:rFonts w:ascii="Tahoma" w:hAnsi="Tahoma" w:cs="Tahoma"/>
                <w:sz w:val="20"/>
                <w:szCs w:val="20"/>
              </w:rPr>
            </w:pPr>
          </w:p>
        </w:tc>
        <w:tc>
          <w:tcPr>
            <w:tcW w:w="1840" w:type="dxa"/>
            <w:vMerge/>
            <w:vAlign w:val="center"/>
          </w:tcPr>
          <w:p w14:paraId="384A8909" w14:textId="77777777" w:rsidR="00B30BC5" w:rsidRPr="002203BF" w:rsidRDefault="00B30BC5" w:rsidP="00B30BC5">
            <w:pPr>
              <w:jc w:val="center"/>
              <w:rPr>
                <w:rFonts w:ascii="Tahoma" w:hAnsi="Tahoma" w:cs="Tahoma"/>
                <w:sz w:val="20"/>
                <w:szCs w:val="20"/>
              </w:rPr>
            </w:pPr>
          </w:p>
        </w:tc>
        <w:tc>
          <w:tcPr>
            <w:tcW w:w="2129" w:type="dxa"/>
            <w:vMerge/>
            <w:vAlign w:val="center"/>
          </w:tcPr>
          <w:p w14:paraId="1E77FBDB" w14:textId="77777777" w:rsidR="00B30BC5" w:rsidRPr="002203BF" w:rsidRDefault="00B30BC5" w:rsidP="00B30BC5">
            <w:pPr>
              <w:jc w:val="center"/>
              <w:rPr>
                <w:rFonts w:ascii="Tahoma" w:hAnsi="Tahoma" w:cs="Tahoma"/>
                <w:sz w:val="20"/>
                <w:szCs w:val="20"/>
              </w:rPr>
            </w:pPr>
          </w:p>
        </w:tc>
      </w:tr>
      <w:tr w:rsidR="00B30BC5" w:rsidRPr="002203BF" w14:paraId="011C92D6" w14:textId="77777777" w:rsidTr="00B30BC5">
        <w:trPr>
          <w:trHeight w:val="796"/>
        </w:trPr>
        <w:tc>
          <w:tcPr>
            <w:tcW w:w="709" w:type="dxa"/>
            <w:vAlign w:val="center"/>
          </w:tcPr>
          <w:p w14:paraId="06D7B565" w14:textId="77777777" w:rsidR="00B30BC5" w:rsidRPr="002203BF" w:rsidRDefault="00B30BC5" w:rsidP="00B30BC5">
            <w:pPr>
              <w:spacing w:after="0"/>
              <w:jc w:val="center"/>
              <w:rPr>
                <w:rFonts w:ascii="Tahoma" w:hAnsi="Tahoma" w:cs="Tahoma"/>
                <w:sz w:val="20"/>
                <w:szCs w:val="20"/>
              </w:rPr>
            </w:pPr>
            <w:r w:rsidRPr="002203BF">
              <w:rPr>
                <w:rFonts w:ascii="Tahoma" w:hAnsi="Tahoma" w:cs="Tahoma"/>
                <w:sz w:val="20"/>
                <w:szCs w:val="20"/>
              </w:rPr>
              <w:t>1.</w:t>
            </w:r>
          </w:p>
        </w:tc>
        <w:tc>
          <w:tcPr>
            <w:tcW w:w="3288" w:type="dxa"/>
            <w:vAlign w:val="center"/>
          </w:tcPr>
          <w:p w14:paraId="1C569E5D" w14:textId="77777777" w:rsidR="00B30BC5" w:rsidRPr="002203BF" w:rsidRDefault="00B30BC5" w:rsidP="00B30BC5">
            <w:pPr>
              <w:autoSpaceDE w:val="0"/>
              <w:autoSpaceDN w:val="0"/>
              <w:adjustRightInd w:val="0"/>
              <w:spacing w:after="0" w:line="240" w:lineRule="auto"/>
              <w:jc w:val="center"/>
              <w:rPr>
                <w:rFonts w:ascii="Tahoma" w:hAnsi="Tahoma" w:cs="Tahoma"/>
                <w:sz w:val="20"/>
                <w:szCs w:val="20"/>
              </w:rPr>
            </w:pPr>
            <w:r>
              <w:rPr>
                <w:rFonts w:ascii="Tahoma" w:hAnsi="Tahoma" w:cs="Tahoma"/>
                <w:sz w:val="20"/>
                <w:szCs w:val="20"/>
                <w:lang w:eastAsia="hr-HR"/>
              </w:rPr>
              <w:t>Mjesečni servis agregata Torpedo-Končar B559 A 250 kVA</w:t>
            </w:r>
          </w:p>
        </w:tc>
        <w:tc>
          <w:tcPr>
            <w:tcW w:w="1112" w:type="dxa"/>
            <w:vAlign w:val="center"/>
          </w:tcPr>
          <w:p w14:paraId="420611E1" w14:textId="77777777" w:rsidR="00B30BC5" w:rsidRPr="002203BF" w:rsidRDefault="00B30BC5" w:rsidP="00B30BC5">
            <w:pPr>
              <w:jc w:val="center"/>
              <w:rPr>
                <w:rFonts w:ascii="Tahoma" w:hAnsi="Tahoma" w:cs="Tahoma"/>
                <w:sz w:val="20"/>
                <w:szCs w:val="20"/>
              </w:rPr>
            </w:pPr>
            <w:r>
              <w:rPr>
                <w:rFonts w:ascii="Tahoma" w:hAnsi="Tahoma" w:cs="Tahoma"/>
                <w:sz w:val="20"/>
                <w:szCs w:val="20"/>
              </w:rPr>
              <w:t>komad</w:t>
            </w:r>
          </w:p>
        </w:tc>
        <w:tc>
          <w:tcPr>
            <w:tcW w:w="1138" w:type="dxa"/>
            <w:vAlign w:val="center"/>
          </w:tcPr>
          <w:p w14:paraId="7DE8B223" w14:textId="77777777" w:rsidR="00B30BC5" w:rsidRPr="002203BF" w:rsidRDefault="00B30BC5" w:rsidP="00B30BC5">
            <w:pPr>
              <w:jc w:val="center"/>
              <w:rPr>
                <w:rFonts w:ascii="Tahoma" w:hAnsi="Tahoma" w:cs="Tahoma"/>
                <w:sz w:val="20"/>
                <w:szCs w:val="20"/>
              </w:rPr>
            </w:pPr>
            <w:r>
              <w:rPr>
                <w:rFonts w:ascii="Tahoma" w:hAnsi="Tahoma" w:cs="Tahoma"/>
                <w:sz w:val="20"/>
                <w:szCs w:val="20"/>
              </w:rPr>
              <w:t>11</w:t>
            </w:r>
          </w:p>
        </w:tc>
        <w:tc>
          <w:tcPr>
            <w:tcW w:w="1840" w:type="dxa"/>
            <w:vAlign w:val="center"/>
          </w:tcPr>
          <w:p w14:paraId="6306DAE7" w14:textId="77777777" w:rsidR="00B30BC5" w:rsidRPr="002203BF" w:rsidRDefault="00B30BC5" w:rsidP="00B30BC5">
            <w:pPr>
              <w:jc w:val="center"/>
              <w:rPr>
                <w:rFonts w:ascii="Tahoma" w:hAnsi="Tahoma" w:cs="Tahoma"/>
                <w:sz w:val="20"/>
                <w:szCs w:val="20"/>
              </w:rPr>
            </w:pPr>
          </w:p>
        </w:tc>
        <w:tc>
          <w:tcPr>
            <w:tcW w:w="2129" w:type="dxa"/>
            <w:vAlign w:val="center"/>
          </w:tcPr>
          <w:p w14:paraId="1908C93B" w14:textId="77777777" w:rsidR="00B30BC5" w:rsidRPr="002203BF" w:rsidRDefault="00B30BC5" w:rsidP="00B30BC5">
            <w:pPr>
              <w:jc w:val="center"/>
              <w:rPr>
                <w:rFonts w:ascii="Tahoma" w:hAnsi="Tahoma" w:cs="Tahoma"/>
                <w:sz w:val="20"/>
                <w:szCs w:val="20"/>
              </w:rPr>
            </w:pPr>
          </w:p>
        </w:tc>
      </w:tr>
      <w:tr w:rsidR="00B30BC5" w:rsidRPr="002203BF" w14:paraId="6CB4F1F9" w14:textId="77777777" w:rsidTr="00B30BC5">
        <w:trPr>
          <w:trHeight w:val="944"/>
        </w:trPr>
        <w:tc>
          <w:tcPr>
            <w:tcW w:w="709" w:type="dxa"/>
            <w:vAlign w:val="center"/>
          </w:tcPr>
          <w:p w14:paraId="4039CA46" w14:textId="77777777" w:rsidR="00B30BC5" w:rsidRPr="002203BF" w:rsidRDefault="00B30BC5" w:rsidP="00B30BC5">
            <w:pPr>
              <w:spacing w:after="0"/>
              <w:jc w:val="center"/>
              <w:rPr>
                <w:rFonts w:ascii="Tahoma" w:hAnsi="Tahoma" w:cs="Tahoma"/>
                <w:sz w:val="20"/>
                <w:szCs w:val="20"/>
              </w:rPr>
            </w:pPr>
            <w:r w:rsidRPr="002203BF">
              <w:rPr>
                <w:rFonts w:ascii="Tahoma" w:hAnsi="Tahoma" w:cs="Tahoma"/>
                <w:sz w:val="20"/>
                <w:szCs w:val="20"/>
              </w:rPr>
              <w:t>2.</w:t>
            </w:r>
          </w:p>
        </w:tc>
        <w:tc>
          <w:tcPr>
            <w:tcW w:w="3288" w:type="dxa"/>
            <w:vAlign w:val="center"/>
          </w:tcPr>
          <w:p w14:paraId="0411B18E" w14:textId="77777777" w:rsidR="00B30BC5" w:rsidRPr="002203BF" w:rsidRDefault="00B30BC5" w:rsidP="00B30BC5">
            <w:pPr>
              <w:jc w:val="center"/>
              <w:rPr>
                <w:rFonts w:ascii="Tahoma" w:hAnsi="Tahoma" w:cs="Tahoma"/>
                <w:sz w:val="20"/>
                <w:szCs w:val="20"/>
              </w:rPr>
            </w:pPr>
            <w:r>
              <w:rPr>
                <w:rFonts w:ascii="Tahoma" w:hAnsi="Tahoma" w:cs="Tahoma"/>
                <w:sz w:val="20"/>
                <w:szCs w:val="20"/>
              </w:rPr>
              <w:t>Mjesečni servis agregata Perkins-Agip Stanford 500 kVA</w:t>
            </w:r>
          </w:p>
        </w:tc>
        <w:tc>
          <w:tcPr>
            <w:tcW w:w="1112" w:type="dxa"/>
            <w:vAlign w:val="center"/>
          </w:tcPr>
          <w:p w14:paraId="35D55686" w14:textId="77777777" w:rsidR="00B30BC5" w:rsidRPr="002203BF" w:rsidRDefault="00B30BC5" w:rsidP="00B30BC5">
            <w:pPr>
              <w:jc w:val="center"/>
              <w:rPr>
                <w:rFonts w:ascii="Tahoma" w:hAnsi="Tahoma" w:cs="Tahoma"/>
                <w:sz w:val="20"/>
                <w:szCs w:val="20"/>
              </w:rPr>
            </w:pPr>
            <w:r w:rsidRPr="002203BF">
              <w:rPr>
                <w:rFonts w:ascii="Tahoma" w:hAnsi="Tahoma" w:cs="Tahoma"/>
                <w:sz w:val="20"/>
                <w:szCs w:val="20"/>
              </w:rPr>
              <w:t>komad</w:t>
            </w:r>
          </w:p>
        </w:tc>
        <w:tc>
          <w:tcPr>
            <w:tcW w:w="1138" w:type="dxa"/>
            <w:vAlign w:val="center"/>
          </w:tcPr>
          <w:p w14:paraId="54652686" w14:textId="77777777" w:rsidR="00B30BC5" w:rsidRPr="002203BF" w:rsidRDefault="00B30BC5" w:rsidP="00B30BC5">
            <w:pPr>
              <w:jc w:val="center"/>
              <w:rPr>
                <w:rFonts w:ascii="Tahoma" w:hAnsi="Tahoma" w:cs="Tahoma"/>
                <w:sz w:val="20"/>
                <w:szCs w:val="20"/>
              </w:rPr>
            </w:pPr>
            <w:r>
              <w:rPr>
                <w:rFonts w:ascii="Tahoma" w:hAnsi="Tahoma" w:cs="Tahoma"/>
                <w:sz w:val="20"/>
                <w:szCs w:val="20"/>
              </w:rPr>
              <w:t>11</w:t>
            </w:r>
          </w:p>
        </w:tc>
        <w:tc>
          <w:tcPr>
            <w:tcW w:w="1840" w:type="dxa"/>
            <w:vAlign w:val="center"/>
          </w:tcPr>
          <w:p w14:paraId="4783C656" w14:textId="77777777" w:rsidR="00B30BC5" w:rsidRPr="002203BF" w:rsidRDefault="00B30BC5" w:rsidP="00B30BC5">
            <w:pPr>
              <w:jc w:val="center"/>
              <w:rPr>
                <w:rFonts w:ascii="Tahoma" w:hAnsi="Tahoma" w:cs="Tahoma"/>
                <w:sz w:val="20"/>
                <w:szCs w:val="20"/>
              </w:rPr>
            </w:pPr>
          </w:p>
        </w:tc>
        <w:tc>
          <w:tcPr>
            <w:tcW w:w="2129" w:type="dxa"/>
            <w:vAlign w:val="center"/>
          </w:tcPr>
          <w:p w14:paraId="255C9B0C" w14:textId="77777777" w:rsidR="00B30BC5" w:rsidRPr="002203BF" w:rsidRDefault="00B30BC5" w:rsidP="00B30BC5">
            <w:pPr>
              <w:jc w:val="center"/>
              <w:rPr>
                <w:rFonts w:ascii="Tahoma" w:hAnsi="Tahoma" w:cs="Tahoma"/>
                <w:sz w:val="20"/>
                <w:szCs w:val="20"/>
              </w:rPr>
            </w:pPr>
          </w:p>
        </w:tc>
      </w:tr>
      <w:tr w:rsidR="00B30BC5" w:rsidRPr="002203BF" w14:paraId="1458162D" w14:textId="77777777" w:rsidTr="00B30BC5">
        <w:trPr>
          <w:trHeight w:val="1781"/>
        </w:trPr>
        <w:tc>
          <w:tcPr>
            <w:tcW w:w="709" w:type="dxa"/>
            <w:vAlign w:val="center"/>
          </w:tcPr>
          <w:p w14:paraId="74B3DCC2" w14:textId="77777777" w:rsidR="00B30BC5" w:rsidRPr="002203BF" w:rsidRDefault="00B30BC5" w:rsidP="00B30BC5">
            <w:pPr>
              <w:spacing w:after="0"/>
              <w:jc w:val="center"/>
              <w:rPr>
                <w:rFonts w:ascii="Tahoma" w:hAnsi="Tahoma" w:cs="Tahoma"/>
                <w:sz w:val="20"/>
                <w:szCs w:val="20"/>
              </w:rPr>
            </w:pPr>
            <w:r w:rsidRPr="002203BF">
              <w:rPr>
                <w:rFonts w:ascii="Tahoma" w:hAnsi="Tahoma" w:cs="Tahoma"/>
                <w:sz w:val="20"/>
                <w:szCs w:val="20"/>
              </w:rPr>
              <w:t>3.</w:t>
            </w:r>
          </w:p>
        </w:tc>
        <w:tc>
          <w:tcPr>
            <w:tcW w:w="3288" w:type="dxa"/>
            <w:vAlign w:val="center"/>
          </w:tcPr>
          <w:p w14:paraId="3328EFB2" w14:textId="77777777" w:rsidR="00B30BC5" w:rsidRPr="002203BF" w:rsidRDefault="00B30BC5" w:rsidP="00B30BC5">
            <w:pPr>
              <w:jc w:val="center"/>
              <w:rPr>
                <w:rFonts w:ascii="Tahoma" w:hAnsi="Tahoma" w:cs="Tahoma"/>
                <w:sz w:val="20"/>
                <w:szCs w:val="20"/>
                <w:lang w:eastAsia="hr-HR"/>
              </w:rPr>
            </w:pPr>
            <w:r>
              <w:rPr>
                <w:rFonts w:ascii="Tahoma" w:hAnsi="Tahoma" w:cs="Tahoma"/>
                <w:sz w:val="20"/>
                <w:szCs w:val="20"/>
                <w:lang w:eastAsia="hr-HR"/>
              </w:rPr>
              <w:t>Godišnji servis agregata Torpedo-Konačar B559 A 250 kVA (uključeno motorno ulje, pročistači, brtve, antifriz i sitni potrošni materijal)</w:t>
            </w:r>
          </w:p>
        </w:tc>
        <w:tc>
          <w:tcPr>
            <w:tcW w:w="1112" w:type="dxa"/>
            <w:vAlign w:val="center"/>
          </w:tcPr>
          <w:p w14:paraId="448044D3" w14:textId="77777777" w:rsidR="00B30BC5" w:rsidRPr="002203BF" w:rsidRDefault="00B30BC5" w:rsidP="00B30BC5">
            <w:pPr>
              <w:jc w:val="center"/>
              <w:rPr>
                <w:rFonts w:ascii="Tahoma" w:hAnsi="Tahoma" w:cs="Tahoma"/>
                <w:sz w:val="20"/>
                <w:szCs w:val="20"/>
              </w:rPr>
            </w:pPr>
            <w:r w:rsidRPr="002203BF">
              <w:rPr>
                <w:rFonts w:ascii="Tahoma" w:hAnsi="Tahoma" w:cs="Tahoma"/>
                <w:sz w:val="20"/>
                <w:szCs w:val="20"/>
              </w:rPr>
              <w:t>komad</w:t>
            </w:r>
          </w:p>
        </w:tc>
        <w:tc>
          <w:tcPr>
            <w:tcW w:w="1138" w:type="dxa"/>
            <w:vAlign w:val="center"/>
          </w:tcPr>
          <w:p w14:paraId="07DD1F3C" w14:textId="77777777" w:rsidR="00B30BC5" w:rsidRPr="002203BF" w:rsidRDefault="00B30BC5" w:rsidP="00B30BC5">
            <w:pPr>
              <w:jc w:val="center"/>
              <w:rPr>
                <w:rFonts w:ascii="Tahoma" w:hAnsi="Tahoma" w:cs="Tahoma"/>
                <w:sz w:val="20"/>
                <w:szCs w:val="20"/>
              </w:rPr>
            </w:pPr>
            <w:r>
              <w:rPr>
                <w:rFonts w:ascii="Tahoma" w:hAnsi="Tahoma" w:cs="Tahoma"/>
                <w:sz w:val="20"/>
                <w:szCs w:val="20"/>
              </w:rPr>
              <w:t>1</w:t>
            </w:r>
          </w:p>
        </w:tc>
        <w:tc>
          <w:tcPr>
            <w:tcW w:w="1840" w:type="dxa"/>
            <w:vAlign w:val="center"/>
          </w:tcPr>
          <w:p w14:paraId="4903E656" w14:textId="77777777" w:rsidR="00B30BC5" w:rsidRPr="002203BF" w:rsidRDefault="00B30BC5" w:rsidP="00B30BC5">
            <w:pPr>
              <w:jc w:val="center"/>
              <w:rPr>
                <w:rFonts w:ascii="Tahoma" w:hAnsi="Tahoma" w:cs="Tahoma"/>
                <w:sz w:val="20"/>
                <w:szCs w:val="20"/>
              </w:rPr>
            </w:pPr>
          </w:p>
        </w:tc>
        <w:tc>
          <w:tcPr>
            <w:tcW w:w="2129" w:type="dxa"/>
            <w:vAlign w:val="center"/>
          </w:tcPr>
          <w:p w14:paraId="35A84B28" w14:textId="77777777" w:rsidR="00B30BC5" w:rsidRPr="002203BF" w:rsidRDefault="00B30BC5" w:rsidP="00B30BC5">
            <w:pPr>
              <w:jc w:val="center"/>
              <w:rPr>
                <w:rFonts w:ascii="Tahoma" w:hAnsi="Tahoma" w:cs="Tahoma"/>
                <w:sz w:val="20"/>
                <w:szCs w:val="20"/>
              </w:rPr>
            </w:pPr>
          </w:p>
        </w:tc>
      </w:tr>
      <w:tr w:rsidR="00B30BC5" w:rsidRPr="002203BF" w14:paraId="69E59A6D" w14:textId="77777777" w:rsidTr="00B30BC5">
        <w:trPr>
          <w:trHeight w:val="1634"/>
        </w:trPr>
        <w:tc>
          <w:tcPr>
            <w:tcW w:w="709" w:type="dxa"/>
            <w:vAlign w:val="center"/>
          </w:tcPr>
          <w:p w14:paraId="12576B42" w14:textId="77777777" w:rsidR="00B30BC5" w:rsidRPr="002203BF" w:rsidRDefault="00B30BC5" w:rsidP="00B30BC5">
            <w:pPr>
              <w:spacing w:after="0"/>
              <w:jc w:val="center"/>
              <w:rPr>
                <w:rFonts w:ascii="Tahoma" w:hAnsi="Tahoma" w:cs="Tahoma"/>
                <w:sz w:val="20"/>
                <w:szCs w:val="20"/>
              </w:rPr>
            </w:pPr>
            <w:r w:rsidRPr="002203BF">
              <w:rPr>
                <w:rFonts w:ascii="Tahoma" w:hAnsi="Tahoma" w:cs="Tahoma"/>
                <w:sz w:val="20"/>
                <w:szCs w:val="20"/>
              </w:rPr>
              <w:t>4.</w:t>
            </w:r>
          </w:p>
        </w:tc>
        <w:tc>
          <w:tcPr>
            <w:tcW w:w="3288" w:type="dxa"/>
            <w:vAlign w:val="center"/>
          </w:tcPr>
          <w:p w14:paraId="3EBA6B37" w14:textId="77777777" w:rsidR="00B30BC5" w:rsidRPr="002203BF" w:rsidRDefault="00B30BC5" w:rsidP="00B30BC5">
            <w:pPr>
              <w:jc w:val="center"/>
              <w:rPr>
                <w:rFonts w:ascii="Tahoma" w:hAnsi="Tahoma" w:cs="Tahoma"/>
                <w:sz w:val="20"/>
                <w:szCs w:val="20"/>
                <w:lang w:eastAsia="hr-HR"/>
              </w:rPr>
            </w:pPr>
            <w:r>
              <w:rPr>
                <w:rFonts w:ascii="Tahoma" w:hAnsi="Tahoma" w:cs="Tahoma"/>
                <w:sz w:val="20"/>
                <w:szCs w:val="20"/>
                <w:lang w:eastAsia="hr-HR"/>
              </w:rPr>
              <w:t>Godišnji servis agregata Perkins-Agip Stanford 500 kVA (uključeno motorno ulje, brtve, antifriz i sitni potrošni materijal)</w:t>
            </w:r>
          </w:p>
        </w:tc>
        <w:tc>
          <w:tcPr>
            <w:tcW w:w="1112" w:type="dxa"/>
            <w:vAlign w:val="center"/>
          </w:tcPr>
          <w:p w14:paraId="10AFE537" w14:textId="77777777" w:rsidR="00B30BC5" w:rsidRPr="002203BF" w:rsidRDefault="00B30BC5" w:rsidP="00B30BC5">
            <w:pPr>
              <w:jc w:val="center"/>
              <w:rPr>
                <w:rFonts w:ascii="Tahoma" w:hAnsi="Tahoma" w:cs="Tahoma"/>
                <w:sz w:val="20"/>
                <w:szCs w:val="20"/>
              </w:rPr>
            </w:pPr>
            <w:r w:rsidRPr="002203BF">
              <w:rPr>
                <w:rFonts w:ascii="Tahoma" w:hAnsi="Tahoma" w:cs="Tahoma"/>
                <w:sz w:val="20"/>
                <w:szCs w:val="20"/>
              </w:rPr>
              <w:t>komad</w:t>
            </w:r>
          </w:p>
        </w:tc>
        <w:tc>
          <w:tcPr>
            <w:tcW w:w="1138" w:type="dxa"/>
            <w:vAlign w:val="center"/>
          </w:tcPr>
          <w:p w14:paraId="46F9265A" w14:textId="77777777" w:rsidR="00B30BC5" w:rsidRPr="002203BF" w:rsidRDefault="00B30BC5" w:rsidP="00B30BC5">
            <w:pPr>
              <w:jc w:val="center"/>
              <w:rPr>
                <w:rFonts w:ascii="Tahoma" w:hAnsi="Tahoma" w:cs="Tahoma"/>
                <w:sz w:val="20"/>
                <w:szCs w:val="20"/>
              </w:rPr>
            </w:pPr>
            <w:r>
              <w:rPr>
                <w:rFonts w:ascii="Tahoma" w:hAnsi="Tahoma" w:cs="Tahoma"/>
                <w:sz w:val="20"/>
                <w:szCs w:val="20"/>
              </w:rPr>
              <w:t>1</w:t>
            </w:r>
          </w:p>
        </w:tc>
        <w:tc>
          <w:tcPr>
            <w:tcW w:w="1840" w:type="dxa"/>
            <w:vAlign w:val="center"/>
          </w:tcPr>
          <w:p w14:paraId="5F412D73" w14:textId="77777777" w:rsidR="00B30BC5" w:rsidRPr="002203BF" w:rsidRDefault="00B30BC5" w:rsidP="00B30BC5">
            <w:pPr>
              <w:jc w:val="center"/>
              <w:rPr>
                <w:rFonts w:ascii="Tahoma" w:hAnsi="Tahoma" w:cs="Tahoma"/>
                <w:sz w:val="20"/>
                <w:szCs w:val="20"/>
              </w:rPr>
            </w:pPr>
          </w:p>
        </w:tc>
        <w:tc>
          <w:tcPr>
            <w:tcW w:w="2129" w:type="dxa"/>
            <w:vAlign w:val="center"/>
          </w:tcPr>
          <w:p w14:paraId="62797E0D" w14:textId="77777777" w:rsidR="00B30BC5" w:rsidRPr="002203BF" w:rsidRDefault="00B30BC5" w:rsidP="00B30BC5">
            <w:pPr>
              <w:jc w:val="center"/>
              <w:rPr>
                <w:rFonts w:ascii="Tahoma" w:hAnsi="Tahoma" w:cs="Tahoma"/>
                <w:sz w:val="20"/>
                <w:szCs w:val="20"/>
              </w:rPr>
            </w:pPr>
          </w:p>
        </w:tc>
      </w:tr>
      <w:tr w:rsidR="00B30BC5" w:rsidRPr="002203BF" w14:paraId="036D9026" w14:textId="77777777" w:rsidTr="00B30BC5">
        <w:trPr>
          <w:trHeight w:val="1634"/>
        </w:trPr>
        <w:tc>
          <w:tcPr>
            <w:tcW w:w="709" w:type="dxa"/>
            <w:vAlign w:val="center"/>
          </w:tcPr>
          <w:p w14:paraId="28624268" w14:textId="77777777" w:rsidR="00B30BC5" w:rsidRPr="002203BF" w:rsidRDefault="00B30BC5" w:rsidP="00B30BC5">
            <w:pPr>
              <w:spacing w:after="0"/>
              <w:jc w:val="center"/>
              <w:rPr>
                <w:rFonts w:ascii="Tahoma" w:hAnsi="Tahoma" w:cs="Tahoma"/>
                <w:sz w:val="20"/>
                <w:szCs w:val="20"/>
              </w:rPr>
            </w:pPr>
            <w:r>
              <w:rPr>
                <w:rFonts w:ascii="Tahoma" w:hAnsi="Tahoma" w:cs="Tahoma"/>
                <w:sz w:val="20"/>
                <w:szCs w:val="20"/>
              </w:rPr>
              <w:t>5.</w:t>
            </w:r>
          </w:p>
        </w:tc>
        <w:tc>
          <w:tcPr>
            <w:tcW w:w="3288" w:type="dxa"/>
            <w:vAlign w:val="center"/>
          </w:tcPr>
          <w:p w14:paraId="5C9A5E74" w14:textId="3FDEE99D" w:rsidR="00B30BC5" w:rsidRDefault="00B30BC5" w:rsidP="00B30BC5">
            <w:pPr>
              <w:jc w:val="center"/>
              <w:rPr>
                <w:rFonts w:ascii="Tahoma" w:hAnsi="Tahoma" w:cs="Tahoma"/>
                <w:sz w:val="20"/>
                <w:szCs w:val="20"/>
                <w:lang w:eastAsia="hr-HR"/>
              </w:rPr>
            </w:pPr>
            <w:r>
              <w:rPr>
                <w:rFonts w:ascii="Tahoma" w:hAnsi="Tahoma" w:cs="Tahoma"/>
                <w:sz w:val="20"/>
                <w:szCs w:val="20"/>
                <w:lang w:eastAsia="hr-HR"/>
              </w:rPr>
              <w:t>Dolazak po pozivu</w:t>
            </w:r>
            <w:r>
              <w:rPr>
                <w:rFonts w:ascii="Tahoma" w:hAnsi="Tahoma" w:cs="Tahoma"/>
                <w:sz w:val="20"/>
                <w:szCs w:val="20"/>
                <w:lang w:eastAsia="hr-HR"/>
              </w:rPr>
              <w:t xml:space="preserve"> i dežurstvo kod agregata u sluč</w:t>
            </w:r>
            <w:r>
              <w:rPr>
                <w:rFonts w:ascii="Tahoma" w:hAnsi="Tahoma" w:cs="Tahoma"/>
                <w:sz w:val="20"/>
                <w:szCs w:val="20"/>
                <w:lang w:eastAsia="hr-HR"/>
              </w:rPr>
              <w:t>aju nestanka struje dužem od 30 minuta</w:t>
            </w:r>
          </w:p>
        </w:tc>
        <w:tc>
          <w:tcPr>
            <w:tcW w:w="1112" w:type="dxa"/>
            <w:vAlign w:val="center"/>
          </w:tcPr>
          <w:p w14:paraId="29267DB4" w14:textId="77777777" w:rsidR="00B30BC5" w:rsidRPr="002203BF" w:rsidRDefault="00B30BC5" w:rsidP="00B30BC5">
            <w:pPr>
              <w:jc w:val="center"/>
              <w:rPr>
                <w:rFonts w:ascii="Tahoma" w:hAnsi="Tahoma" w:cs="Tahoma"/>
                <w:sz w:val="20"/>
                <w:szCs w:val="20"/>
              </w:rPr>
            </w:pPr>
            <w:r>
              <w:rPr>
                <w:rFonts w:ascii="Tahoma" w:hAnsi="Tahoma" w:cs="Tahoma"/>
                <w:sz w:val="20"/>
                <w:szCs w:val="20"/>
              </w:rPr>
              <w:t>SAT</w:t>
            </w:r>
          </w:p>
        </w:tc>
        <w:tc>
          <w:tcPr>
            <w:tcW w:w="1138" w:type="dxa"/>
            <w:vAlign w:val="center"/>
          </w:tcPr>
          <w:p w14:paraId="44B13C01" w14:textId="77777777" w:rsidR="00B30BC5" w:rsidRDefault="00B30BC5" w:rsidP="00B30BC5">
            <w:pPr>
              <w:jc w:val="center"/>
              <w:rPr>
                <w:rFonts w:ascii="Tahoma" w:hAnsi="Tahoma" w:cs="Tahoma"/>
                <w:sz w:val="20"/>
                <w:szCs w:val="20"/>
              </w:rPr>
            </w:pPr>
            <w:r>
              <w:rPr>
                <w:rFonts w:ascii="Tahoma" w:hAnsi="Tahoma" w:cs="Tahoma"/>
                <w:sz w:val="20"/>
                <w:szCs w:val="20"/>
              </w:rPr>
              <w:t>10</w:t>
            </w:r>
          </w:p>
        </w:tc>
        <w:tc>
          <w:tcPr>
            <w:tcW w:w="1840" w:type="dxa"/>
            <w:vAlign w:val="center"/>
          </w:tcPr>
          <w:p w14:paraId="5E57D57E" w14:textId="77777777" w:rsidR="00B30BC5" w:rsidRPr="002203BF" w:rsidRDefault="00B30BC5" w:rsidP="00B30BC5">
            <w:pPr>
              <w:jc w:val="center"/>
              <w:rPr>
                <w:rFonts w:ascii="Tahoma" w:hAnsi="Tahoma" w:cs="Tahoma"/>
                <w:sz w:val="20"/>
                <w:szCs w:val="20"/>
              </w:rPr>
            </w:pPr>
          </w:p>
        </w:tc>
        <w:tc>
          <w:tcPr>
            <w:tcW w:w="2129" w:type="dxa"/>
            <w:vAlign w:val="center"/>
          </w:tcPr>
          <w:p w14:paraId="6AA62886" w14:textId="77777777" w:rsidR="00B30BC5" w:rsidRPr="002203BF" w:rsidRDefault="00B30BC5" w:rsidP="00B30BC5">
            <w:pPr>
              <w:jc w:val="center"/>
              <w:rPr>
                <w:rFonts w:ascii="Tahoma" w:hAnsi="Tahoma" w:cs="Tahoma"/>
                <w:sz w:val="20"/>
                <w:szCs w:val="20"/>
              </w:rPr>
            </w:pPr>
          </w:p>
        </w:tc>
      </w:tr>
    </w:tbl>
    <w:p w14:paraId="54887D98" w14:textId="4B9832AD" w:rsidR="00B30BC5" w:rsidRDefault="00B30BC5" w:rsidP="00AB2FDA">
      <w:pPr>
        <w:pStyle w:val="Azrastil"/>
        <w:rPr>
          <w:i/>
          <w:sz w:val="16"/>
          <w:szCs w:val="18"/>
        </w:rPr>
      </w:pPr>
    </w:p>
    <w:p w14:paraId="28DCFD80" w14:textId="009BBE0C" w:rsidR="00B30BC5" w:rsidRDefault="00B30BC5" w:rsidP="00AB2FDA">
      <w:pPr>
        <w:pStyle w:val="Azrastil"/>
        <w:rPr>
          <w:i/>
          <w:sz w:val="16"/>
          <w:szCs w:val="18"/>
        </w:rPr>
      </w:pPr>
    </w:p>
    <w:p w14:paraId="5BA24816" w14:textId="43A1AEB2" w:rsidR="00B30BC5" w:rsidRDefault="00B30BC5" w:rsidP="00AB2FDA">
      <w:pPr>
        <w:pStyle w:val="Azrastil"/>
        <w:rPr>
          <w:i/>
          <w:sz w:val="16"/>
          <w:szCs w:val="18"/>
        </w:rPr>
      </w:pPr>
    </w:p>
    <w:tbl>
      <w:tblPr>
        <w:tblpPr w:leftFromText="180" w:rightFromText="180" w:vertAnchor="text" w:horzAnchor="page" w:tblpX="5263" w:tblpY="-13"/>
        <w:tblW w:w="6189" w:type="dxa"/>
        <w:tblLayout w:type="fixed"/>
        <w:tblLook w:val="0000" w:firstRow="0" w:lastRow="0" w:firstColumn="0" w:lastColumn="0" w:noHBand="0" w:noVBand="0"/>
      </w:tblPr>
      <w:tblGrid>
        <w:gridCol w:w="2769"/>
        <w:gridCol w:w="3420"/>
      </w:tblGrid>
      <w:tr w:rsidR="00B30BC5" w:rsidRPr="002203BF" w14:paraId="57FC0554" w14:textId="77777777" w:rsidTr="00B30BC5">
        <w:trPr>
          <w:trHeight w:val="415"/>
        </w:trPr>
        <w:tc>
          <w:tcPr>
            <w:tcW w:w="2769" w:type="dxa"/>
            <w:tcBorders>
              <w:top w:val="single" w:sz="4" w:space="0" w:color="000000"/>
              <w:left w:val="single" w:sz="4" w:space="0" w:color="000000"/>
              <w:bottom w:val="single" w:sz="4" w:space="0" w:color="000000"/>
            </w:tcBorders>
          </w:tcPr>
          <w:p w14:paraId="12EC7FEC" w14:textId="77777777" w:rsidR="00B30BC5" w:rsidRPr="00EF6D99" w:rsidRDefault="00B30BC5" w:rsidP="00B30BC5">
            <w:pPr>
              <w:rPr>
                <w:rFonts w:ascii="Tahoma" w:hAnsi="Tahoma" w:cs="Tahoma"/>
                <w:lang w:eastAsia="hr-HR"/>
              </w:rPr>
            </w:pPr>
            <w:r w:rsidRPr="00EF6D99">
              <w:rPr>
                <w:rFonts w:ascii="Tahoma" w:hAnsi="Tahoma" w:cs="Tahoma"/>
                <w:lang w:eastAsia="hr-HR"/>
              </w:rPr>
              <w:t>UKUPNO BEZ PDV-a</w:t>
            </w:r>
          </w:p>
        </w:tc>
        <w:tc>
          <w:tcPr>
            <w:tcW w:w="3420" w:type="dxa"/>
            <w:tcBorders>
              <w:top w:val="single" w:sz="4" w:space="0" w:color="000000"/>
              <w:left w:val="single" w:sz="4" w:space="0" w:color="000000"/>
              <w:bottom w:val="single" w:sz="4" w:space="0" w:color="000000"/>
              <w:right w:val="single" w:sz="4" w:space="0" w:color="000000"/>
            </w:tcBorders>
          </w:tcPr>
          <w:p w14:paraId="15F44B5E" w14:textId="77777777" w:rsidR="00B30BC5" w:rsidRPr="002203BF" w:rsidRDefault="00B30BC5" w:rsidP="00B30BC5">
            <w:pPr>
              <w:snapToGrid w:val="0"/>
              <w:ind w:right="-408"/>
              <w:rPr>
                <w:rFonts w:ascii="Tahoma" w:hAnsi="Tahoma" w:cs="Tahoma"/>
                <w:color w:val="FF0000"/>
                <w:lang w:eastAsia="hr-HR"/>
              </w:rPr>
            </w:pPr>
          </w:p>
        </w:tc>
      </w:tr>
      <w:tr w:rsidR="00B30BC5" w:rsidRPr="002203BF" w14:paraId="7F989DE0" w14:textId="77777777" w:rsidTr="00B30BC5">
        <w:trPr>
          <w:trHeight w:val="415"/>
        </w:trPr>
        <w:tc>
          <w:tcPr>
            <w:tcW w:w="2769" w:type="dxa"/>
            <w:tcBorders>
              <w:top w:val="single" w:sz="4" w:space="0" w:color="000000"/>
              <w:left w:val="single" w:sz="4" w:space="0" w:color="000000"/>
              <w:bottom w:val="single" w:sz="4" w:space="0" w:color="000000"/>
            </w:tcBorders>
          </w:tcPr>
          <w:p w14:paraId="7A65397C" w14:textId="77777777" w:rsidR="00B30BC5" w:rsidRPr="00EF6D99" w:rsidRDefault="00B30BC5" w:rsidP="00B30BC5">
            <w:pPr>
              <w:rPr>
                <w:rFonts w:ascii="Tahoma" w:hAnsi="Tahoma" w:cs="Tahoma"/>
                <w:lang w:eastAsia="hr-HR"/>
              </w:rPr>
            </w:pPr>
            <w:r w:rsidRPr="00EF6D99">
              <w:rPr>
                <w:rFonts w:ascii="Tahoma" w:hAnsi="Tahoma" w:cs="Tahoma"/>
                <w:lang w:eastAsia="hr-HR"/>
              </w:rPr>
              <w:t xml:space="preserve">PDV </w:t>
            </w:r>
          </w:p>
        </w:tc>
        <w:tc>
          <w:tcPr>
            <w:tcW w:w="3420" w:type="dxa"/>
            <w:tcBorders>
              <w:top w:val="single" w:sz="4" w:space="0" w:color="000000"/>
              <w:left w:val="single" w:sz="4" w:space="0" w:color="000000"/>
              <w:bottom w:val="single" w:sz="4" w:space="0" w:color="000000"/>
              <w:right w:val="single" w:sz="4" w:space="0" w:color="000000"/>
            </w:tcBorders>
          </w:tcPr>
          <w:p w14:paraId="185B3F50" w14:textId="77777777" w:rsidR="00B30BC5" w:rsidRPr="002203BF" w:rsidRDefault="00B30BC5" w:rsidP="00B30BC5">
            <w:pPr>
              <w:snapToGrid w:val="0"/>
              <w:ind w:right="-408"/>
              <w:rPr>
                <w:rFonts w:ascii="Tahoma" w:hAnsi="Tahoma" w:cs="Tahoma"/>
                <w:color w:val="FF0000"/>
                <w:lang w:eastAsia="hr-HR"/>
              </w:rPr>
            </w:pPr>
          </w:p>
        </w:tc>
      </w:tr>
      <w:tr w:rsidR="00B30BC5" w:rsidRPr="002203BF" w14:paraId="614D2947" w14:textId="77777777" w:rsidTr="00B30BC5">
        <w:trPr>
          <w:trHeight w:val="116"/>
        </w:trPr>
        <w:tc>
          <w:tcPr>
            <w:tcW w:w="2769" w:type="dxa"/>
            <w:tcBorders>
              <w:top w:val="single" w:sz="4" w:space="0" w:color="000000"/>
              <w:left w:val="single" w:sz="4" w:space="0" w:color="000000"/>
              <w:bottom w:val="single" w:sz="4" w:space="0" w:color="000000"/>
            </w:tcBorders>
          </w:tcPr>
          <w:p w14:paraId="1CED94F6" w14:textId="77777777" w:rsidR="00B30BC5" w:rsidRPr="00EF6D99" w:rsidRDefault="00B30BC5" w:rsidP="00B30BC5">
            <w:pPr>
              <w:rPr>
                <w:rFonts w:ascii="Tahoma" w:hAnsi="Tahoma" w:cs="Tahoma"/>
                <w:lang w:eastAsia="hr-HR"/>
              </w:rPr>
            </w:pPr>
            <w:r w:rsidRPr="00EF6D99">
              <w:rPr>
                <w:rFonts w:ascii="Tahoma" w:hAnsi="Tahoma" w:cs="Tahoma"/>
                <w:lang w:eastAsia="hr-HR"/>
              </w:rPr>
              <w:t>SVEUKUPNO S  PDV-om</w:t>
            </w:r>
          </w:p>
        </w:tc>
        <w:tc>
          <w:tcPr>
            <w:tcW w:w="3420" w:type="dxa"/>
            <w:tcBorders>
              <w:top w:val="single" w:sz="4" w:space="0" w:color="000000"/>
              <w:left w:val="single" w:sz="4" w:space="0" w:color="000000"/>
              <w:bottom w:val="single" w:sz="4" w:space="0" w:color="000000"/>
              <w:right w:val="single" w:sz="4" w:space="0" w:color="000000"/>
            </w:tcBorders>
          </w:tcPr>
          <w:p w14:paraId="61785B23" w14:textId="77777777" w:rsidR="00B30BC5" w:rsidRPr="002203BF" w:rsidRDefault="00B30BC5" w:rsidP="00B30BC5">
            <w:pPr>
              <w:snapToGrid w:val="0"/>
              <w:ind w:right="-408"/>
              <w:rPr>
                <w:rFonts w:ascii="Tahoma" w:hAnsi="Tahoma" w:cs="Tahoma"/>
                <w:color w:val="FF0000"/>
                <w:lang w:eastAsia="hr-HR"/>
              </w:rPr>
            </w:pPr>
          </w:p>
        </w:tc>
      </w:tr>
    </w:tbl>
    <w:p w14:paraId="5922B0E2" w14:textId="5153DA5C" w:rsidR="00B30BC5" w:rsidRDefault="00B30BC5" w:rsidP="00AB2FDA">
      <w:pPr>
        <w:pStyle w:val="Azrastil"/>
        <w:rPr>
          <w:i/>
          <w:sz w:val="16"/>
          <w:szCs w:val="18"/>
        </w:rPr>
      </w:pPr>
    </w:p>
    <w:p w14:paraId="4A149A2D" w14:textId="77777777" w:rsidR="00B30BC5" w:rsidRDefault="00B30BC5" w:rsidP="00B30BC5"/>
    <w:tbl>
      <w:tblPr>
        <w:tblW w:w="10049" w:type="dxa"/>
        <w:jc w:val="center"/>
        <w:tblLook w:val="00A0" w:firstRow="1" w:lastRow="0" w:firstColumn="1" w:lastColumn="0" w:noHBand="0" w:noVBand="0"/>
      </w:tblPr>
      <w:tblGrid>
        <w:gridCol w:w="222"/>
        <w:gridCol w:w="222"/>
        <w:gridCol w:w="8693"/>
        <w:gridCol w:w="222"/>
        <w:gridCol w:w="381"/>
        <w:gridCol w:w="438"/>
      </w:tblGrid>
      <w:tr w:rsidR="00B30BC5" w:rsidRPr="00067F65" w14:paraId="27EFAA85" w14:textId="77777777" w:rsidTr="00D558C5">
        <w:trPr>
          <w:trHeight w:val="266"/>
          <w:jc w:val="center"/>
        </w:trPr>
        <w:tc>
          <w:tcPr>
            <w:tcW w:w="9229" w:type="dxa"/>
            <w:gridSpan w:val="4"/>
            <w:tcBorders>
              <w:top w:val="nil"/>
              <w:left w:val="nil"/>
              <w:bottom w:val="nil"/>
              <w:right w:val="nil"/>
            </w:tcBorders>
            <w:vAlign w:val="center"/>
          </w:tcPr>
          <w:p w14:paraId="136B9488" w14:textId="77777777" w:rsidR="00B30BC5" w:rsidRPr="00067F65" w:rsidRDefault="00B30BC5" w:rsidP="00D558C5">
            <w:pPr>
              <w:spacing w:after="0" w:line="240" w:lineRule="auto"/>
              <w:jc w:val="center"/>
              <w:rPr>
                <w:b/>
                <w:bCs/>
                <w:color w:val="000000"/>
                <w:sz w:val="20"/>
                <w:szCs w:val="20"/>
                <w:lang w:eastAsia="hr-HR"/>
              </w:rPr>
            </w:pPr>
            <w:r w:rsidRPr="00067F65">
              <w:rPr>
                <w:b/>
                <w:bCs/>
                <w:color w:val="000000"/>
                <w:sz w:val="20"/>
                <w:szCs w:val="20"/>
                <w:lang w:eastAsia="hr-HR"/>
              </w:rPr>
              <w:t>Vlastoručnim potpisom osobe odgovorne za zastupanje jamče nepromjenjivost cijena.</w:t>
            </w:r>
          </w:p>
        </w:tc>
        <w:tc>
          <w:tcPr>
            <w:tcW w:w="381" w:type="dxa"/>
            <w:tcBorders>
              <w:top w:val="nil"/>
              <w:left w:val="nil"/>
              <w:bottom w:val="nil"/>
              <w:right w:val="nil"/>
            </w:tcBorders>
            <w:vAlign w:val="center"/>
          </w:tcPr>
          <w:p w14:paraId="212DD344" w14:textId="77777777" w:rsidR="00B30BC5" w:rsidRPr="00067F65" w:rsidRDefault="00B30BC5" w:rsidP="00D558C5">
            <w:pPr>
              <w:spacing w:after="0" w:line="240" w:lineRule="auto"/>
              <w:jc w:val="center"/>
              <w:rPr>
                <w:b/>
                <w:bCs/>
                <w:color w:val="000000"/>
                <w:sz w:val="20"/>
                <w:szCs w:val="20"/>
                <w:lang w:eastAsia="hr-HR"/>
              </w:rPr>
            </w:pPr>
          </w:p>
        </w:tc>
        <w:tc>
          <w:tcPr>
            <w:tcW w:w="438" w:type="dxa"/>
            <w:tcBorders>
              <w:top w:val="nil"/>
              <w:left w:val="nil"/>
              <w:bottom w:val="nil"/>
              <w:right w:val="nil"/>
            </w:tcBorders>
            <w:vAlign w:val="center"/>
          </w:tcPr>
          <w:p w14:paraId="760E9178" w14:textId="77777777" w:rsidR="00B30BC5" w:rsidRPr="00067F65" w:rsidRDefault="00B30BC5" w:rsidP="00D558C5">
            <w:pPr>
              <w:spacing w:after="0" w:line="240" w:lineRule="auto"/>
              <w:rPr>
                <w:rFonts w:ascii="Times New Roman" w:hAnsi="Times New Roman" w:cs="Times New Roman"/>
                <w:sz w:val="20"/>
                <w:szCs w:val="20"/>
                <w:lang w:eastAsia="hr-HR"/>
              </w:rPr>
            </w:pPr>
          </w:p>
        </w:tc>
      </w:tr>
      <w:tr w:rsidR="00B30BC5" w:rsidRPr="00067F65" w14:paraId="6B4D9B52" w14:textId="77777777" w:rsidTr="00D558C5">
        <w:trPr>
          <w:trHeight w:val="266"/>
          <w:jc w:val="center"/>
        </w:trPr>
        <w:tc>
          <w:tcPr>
            <w:tcW w:w="178" w:type="dxa"/>
            <w:tcBorders>
              <w:top w:val="nil"/>
              <w:left w:val="nil"/>
              <w:bottom w:val="nil"/>
              <w:right w:val="nil"/>
            </w:tcBorders>
            <w:noWrap/>
            <w:vAlign w:val="bottom"/>
          </w:tcPr>
          <w:p w14:paraId="306D88F5"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8872" w:type="dxa"/>
            <w:gridSpan w:val="2"/>
            <w:tcBorders>
              <w:top w:val="nil"/>
              <w:left w:val="nil"/>
              <w:bottom w:val="nil"/>
              <w:right w:val="nil"/>
            </w:tcBorders>
            <w:noWrap/>
            <w:vAlign w:val="bottom"/>
          </w:tcPr>
          <w:p w14:paraId="752BF445"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560" w:type="dxa"/>
            <w:gridSpan w:val="2"/>
            <w:tcBorders>
              <w:top w:val="nil"/>
              <w:left w:val="nil"/>
              <w:bottom w:val="nil"/>
              <w:right w:val="nil"/>
            </w:tcBorders>
            <w:noWrap/>
            <w:vAlign w:val="bottom"/>
          </w:tcPr>
          <w:p w14:paraId="3246F008"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438" w:type="dxa"/>
            <w:tcBorders>
              <w:top w:val="nil"/>
              <w:left w:val="nil"/>
              <w:bottom w:val="nil"/>
              <w:right w:val="nil"/>
            </w:tcBorders>
            <w:noWrap/>
            <w:vAlign w:val="bottom"/>
          </w:tcPr>
          <w:p w14:paraId="66732B36" w14:textId="77777777" w:rsidR="00B30BC5" w:rsidRPr="00067F65" w:rsidRDefault="00B30BC5" w:rsidP="00D558C5">
            <w:pPr>
              <w:spacing w:after="0" w:line="240" w:lineRule="auto"/>
              <w:rPr>
                <w:rFonts w:ascii="Times New Roman" w:hAnsi="Times New Roman" w:cs="Times New Roman"/>
                <w:sz w:val="20"/>
                <w:szCs w:val="20"/>
                <w:lang w:eastAsia="hr-HR"/>
              </w:rPr>
            </w:pPr>
          </w:p>
        </w:tc>
      </w:tr>
      <w:tr w:rsidR="00B30BC5" w:rsidRPr="00067F65" w14:paraId="31F2C14F" w14:textId="77777777" w:rsidTr="00D558C5">
        <w:trPr>
          <w:trHeight w:val="266"/>
          <w:jc w:val="center"/>
        </w:trPr>
        <w:tc>
          <w:tcPr>
            <w:tcW w:w="178" w:type="dxa"/>
            <w:tcBorders>
              <w:top w:val="nil"/>
              <w:left w:val="nil"/>
              <w:bottom w:val="nil"/>
              <w:right w:val="nil"/>
            </w:tcBorders>
            <w:noWrap/>
            <w:vAlign w:val="center"/>
          </w:tcPr>
          <w:p w14:paraId="1B4C776D"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8872" w:type="dxa"/>
            <w:gridSpan w:val="2"/>
            <w:tcBorders>
              <w:top w:val="nil"/>
              <w:left w:val="nil"/>
              <w:bottom w:val="nil"/>
              <w:right w:val="nil"/>
            </w:tcBorders>
            <w:noWrap/>
            <w:vAlign w:val="center"/>
          </w:tcPr>
          <w:p w14:paraId="5F8E53F5" w14:textId="77777777" w:rsidR="00B30BC5" w:rsidRPr="00067F65" w:rsidRDefault="00B30BC5" w:rsidP="00D558C5">
            <w:pPr>
              <w:spacing w:after="0" w:line="240" w:lineRule="auto"/>
              <w:jc w:val="center"/>
              <w:rPr>
                <w:b/>
                <w:bCs/>
                <w:color w:val="000000"/>
                <w:sz w:val="20"/>
                <w:szCs w:val="20"/>
                <w:lang w:eastAsia="hr-HR"/>
              </w:rPr>
            </w:pPr>
            <w:r w:rsidRPr="00067F65">
              <w:rPr>
                <w:b/>
                <w:bCs/>
                <w:color w:val="000000"/>
                <w:sz w:val="20"/>
                <w:szCs w:val="20"/>
                <w:lang w:eastAsia="hr-HR"/>
              </w:rPr>
              <w:t>Ponuditelj:</w:t>
            </w:r>
          </w:p>
        </w:tc>
        <w:tc>
          <w:tcPr>
            <w:tcW w:w="178" w:type="dxa"/>
            <w:tcBorders>
              <w:top w:val="nil"/>
              <w:left w:val="nil"/>
              <w:bottom w:val="nil"/>
              <w:right w:val="nil"/>
            </w:tcBorders>
            <w:noWrap/>
            <w:vAlign w:val="bottom"/>
          </w:tcPr>
          <w:p w14:paraId="7237C328" w14:textId="77777777" w:rsidR="00B30BC5" w:rsidRPr="00067F65" w:rsidRDefault="00B30BC5" w:rsidP="00D558C5">
            <w:pPr>
              <w:spacing w:after="0" w:line="240" w:lineRule="auto"/>
              <w:jc w:val="center"/>
              <w:rPr>
                <w:b/>
                <w:bCs/>
                <w:color w:val="000000"/>
                <w:sz w:val="20"/>
                <w:szCs w:val="20"/>
                <w:lang w:eastAsia="hr-HR"/>
              </w:rPr>
            </w:pPr>
          </w:p>
        </w:tc>
        <w:tc>
          <w:tcPr>
            <w:tcW w:w="381" w:type="dxa"/>
            <w:tcBorders>
              <w:top w:val="nil"/>
              <w:left w:val="nil"/>
              <w:bottom w:val="nil"/>
              <w:right w:val="nil"/>
            </w:tcBorders>
            <w:noWrap/>
            <w:vAlign w:val="center"/>
          </w:tcPr>
          <w:p w14:paraId="6046B79C"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438" w:type="dxa"/>
            <w:tcBorders>
              <w:top w:val="nil"/>
              <w:left w:val="nil"/>
              <w:bottom w:val="nil"/>
              <w:right w:val="nil"/>
            </w:tcBorders>
            <w:noWrap/>
            <w:vAlign w:val="bottom"/>
          </w:tcPr>
          <w:p w14:paraId="13FED309" w14:textId="77777777" w:rsidR="00B30BC5" w:rsidRPr="00067F65" w:rsidRDefault="00B30BC5" w:rsidP="00D558C5">
            <w:pPr>
              <w:spacing w:after="0" w:line="240" w:lineRule="auto"/>
              <w:rPr>
                <w:rFonts w:ascii="Times New Roman" w:hAnsi="Times New Roman" w:cs="Times New Roman"/>
                <w:sz w:val="20"/>
                <w:szCs w:val="20"/>
                <w:lang w:eastAsia="hr-HR"/>
              </w:rPr>
            </w:pPr>
          </w:p>
        </w:tc>
      </w:tr>
      <w:tr w:rsidR="00B30BC5" w:rsidRPr="00067F65" w14:paraId="322BEEE5" w14:textId="77777777" w:rsidTr="00D558C5">
        <w:trPr>
          <w:trHeight w:val="266"/>
          <w:jc w:val="center"/>
        </w:trPr>
        <w:tc>
          <w:tcPr>
            <w:tcW w:w="178" w:type="dxa"/>
            <w:tcBorders>
              <w:top w:val="nil"/>
              <w:left w:val="nil"/>
              <w:bottom w:val="nil"/>
              <w:right w:val="nil"/>
            </w:tcBorders>
            <w:noWrap/>
            <w:vAlign w:val="bottom"/>
          </w:tcPr>
          <w:p w14:paraId="48EEC0A6"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9050" w:type="dxa"/>
            <w:gridSpan w:val="3"/>
            <w:vMerge w:val="restart"/>
            <w:tcBorders>
              <w:top w:val="nil"/>
              <w:left w:val="nil"/>
              <w:bottom w:val="nil"/>
              <w:right w:val="nil"/>
            </w:tcBorders>
            <w:noWrap/>
            <w:vAlign w:val="center"/>
          </w:tcPr>
          <w:p w14:paraId="0A618F0D" w14:textId="1F186598" w:rsidR="00B30BC5" w:rsidRPr="00067F65" w:rsidRDefault="00B30BC5" w:rsidP="00D558C5">
            <w:pPr>
              <w:spacing w:after="0" w:line="240" w:lineRule="auto"/>
              <w:jc w:val="center"/>
              <w:rPr>
                <w:color w:val="000000"/>
                <w:sz w:val="20"/>
                <w:szCs w:val="20"/>
                <w:lang w:eastAsia="hr-HR"/>
              </w:rPr>
            </w:pPr>
            <w:r w:rsidRPr="00067F65">
              <w:rPr>
                <w:color w:val="000000"/>
                <w:sz w:val="20"/>
                <w:szCs w:val="20"/>
                <w:lang w:eastAsia="hr-HR"/>
              </w:rPr>
              <w:t>U ________</w:t>
            </w:r>
            <w:r>
              <w:rPr>
                <w:color w:val="000000"/>
                <w:sz w:val="20"/>
                <w:szCs w:val="20"/>
                <w:lang w:eastAsia="hr-HR"/>
              </w:rPr>
              <w:t>_________________, _________2021</w:t>
            </w:r>
            <w:r w:rsidRPr="00067F65">
              <w:rPr>
                <w:color w:val="000000"/>
                <w:sz w:val="20"/>
                <w:szCs w:val="20"/>
                <w:lang w:eastAsia="hr-HR"/>
              </w:rPr>
              <w:t>. godine</w:t>
            </w:r>
          </w:p>
        </w:tc>
        <w:tc>
          <w:tcPr>
            <w:tcW w:w="381" w:type="dxa"/>
            <w:tcBorders>
              <w:top w:val="nil"/>
              <w:left w:val="nil"/>
              <w:bottom w:val="nil"/>
              <w:right w:val="nil"/>
            </w:tcBorders>
            <w:noWrap/>
            <w:vAlign w:val="center"/>
          </w:tcPr>
          <w:p w14:paraId="5BB9AB08" w14:textId="77777777" w:rsidR="00B30BC5" w:rsidRPr="00067F65" w:rsidRDefault="00B30BC5" w:rsidP="00D558C5">
            <w:pPr>
              <w:spacing w:after="0" w:line="240" w:lineRule="auto"/>
              <w:jc w:val="center"/>
              <w:rPr>
                <w:color w:val="000000"/>
                <w:sz w:val="20"/>
                <w:szCs w:val="20"/>
                <w:lang w:eastAsia="hr-HR"/>
              </w:rPr>
            </w:pPr>
          </w:p>
        </w:tc>
        <w:tc>
          <w:tcPr>
            <w:tcW w:w="438" w:type="dxa"/>
            <w:tcBorders>
              <w:top w:val="nil"/>
              <w:left w:val="nil"/>
              <w:bottom w:val="nil"/>
              <w:right w:val="nil"/>
            </w:tcBorders>
            <w:noWrap/>
            <w:vAlign w:val="center"/>
          </w:tcPr>
          <w:p w14:paraId="7CE32C6B" w14:textId="77777777" w:rsidR="00B30BC5" w:rsidRPr="00067F65" w:rsidRDefault="00B30BC5" w:rsidP="00D558C5">
            <w:pPr>
              <w:spacing w:after="0" w:line="240" w:lineRule="auto"/>
              <w:rPr>
                <w:rFonts w:ascii="Times New Roman" w:hAnsi="Times New Roman" w:cs="Times New Roman"/>
                <w:sz w:val="20"/>
                <w:szCs w:val="20"/>
                <w:lang w:eastAsia="hr-HR"/>
              </w:rPr>
            </w:pPr>
          </w:p>
        </w:tc>
      </w:tr>
      <w:tr w:rsidR="00B30BC5" w:rsidRPr="00067F65" w14:paraId="3A2416A8" w14:textId="77777777" w:rsidTr="00D558C5">
        <w:trPr>
          <w:trHeight w:val="266"/>
          <w:jc w:val="center"/>
        </w:trPr>
        <w:tc>
          <w:tcPr>
            <w:tcW w:w="178" w:type="dxa"/>
            <w:tcBorders>
              <w:top w:val="nil"/>
              <w:left w:val="nil"/>
              <w:bottom w:val="nil"/>
              <w:right w:val="nil"/>
            </w:tcBorders>
            <w:noWrap/>
            <w:vAlign w:val="center"/>
          </w:tcPr>
          <w:p w14:paraId="5A78A1EE"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9050" w:type="dxa"/>
            <w:gridSpan w:val="3"/>
            <w:vMerge/>
            <w:tcBorders>
              <w:top w:val="nil"/>
              <w:left w:val="nil"/>
              <w:bottom w:val="nil"/>
              <w:right w:val="nil"/>
            </w:tcBorders>
            <w:vAlign w:val="center"/>
          </w:tcPr>
          <w:p w14:paraId="60E90006" w14:textId="77777777" w:rsidR="00B30BC5" w:rsidRPr="00067F65" w:rsidRDefault="00B30BC5" w:rsidP="00D558C5">
            <w:pPr>
              <w:spacing w:after="0" w:line="240" w:lineRule="auto"/>
              <w:rPr>
                <w:color w:val="000000"/>
                <w:sz w:val="20"/>
                <w:szCs w:val="20"/>
                <w:lang w:eastAsia="hr-HR"/>
              </w:rPr>
            </w:pPr>
          </w:p>
        </w:tc>
        <w:tc>
          <w:tcPr>
            <w:tcW w:w="381" w:type="dxa"/>
            <w:tcBorders>
              <w:top w:val="nil"/>
              <w:left w:val="nil"/>
              <w:bottom w:val="nil"/>
              <w:right w:val="nil"/>
            </w:tcBorders>
            <w:noWrap/>
            <w:vAlign w:val="center"/>
          </w:tcPr>
          <w:p w14:paraId="65B2DAD7"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438" w:type="dxa"/>
            <w:tcBorders>
              <w:top w:val="nil"/>
              <w:left w:val="nil"/>
              <w:bottom w:val="nil"/>
              <w:right w:val="nil"/>
            </w:tcBorders>
            <w:noWrap/>
            <w:vAlign w:val="center"/>
          </w:tcPr>
          <w:p w14:paraId="19826331" w14:textId="77777777" w:rsidR="00B30BC5" w:rsidRPr="00067F65" w:rsidRDefault="00B30BC5" w:rsidP="00D558C5">
            <w:pPr>
              <w:spacing w:after="0" w:line="240" w:lineRule="auto"/>
              <w:rPr>
                <w:rFonts w:ascii="Times New Roman" w:hAnsi="Times New Roman" w:cs="Times New Roman"/>
                <w:sz w:val="20"/>
                <w:szCs w:val="20"/>
                <w:lang w:eastAsia="hr-HR"/>
              </w:rPr>
            </w:pPr>
          </w:p>
        </w:tc>
      </w:tr>
      <w:tr w:rsidR="00B30BC5" w:rsidRPr="00067F65" w14:paraId="5042F623" w14:textId="77777777" w:rsidTr="00D558C5">
        <w:trPr>
          <w:trHeight w:val="266"/>
          <w:jc w:val="center"/>
        </w:trPr>
        <w:tc>
          <w:tcPr>
            <w:tcW w:w="178" w:type="dxa"/>
            <w:tcBorders>
              <w:top w:val="nil"/>
              <w:left w:val="nil"/>
              <w:bottom w:val="nil"/>
              <w:right w:val="nil"/>
            </w:tcBorders>
            <w:noWrap/>
            <w:vAlign w:val="bottom"/>
          </w:tcPr>
          <w:p w14:paraId="15860C4B"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9871" w:type="dxa"/>
            <w:gridSpan w:val="5"/>
            <w:tcBorders>
              <w:top w:val="nil"/>
              <w:left w:val="nil"/>
              <w:bottom w:val="nil"/>
              <w:right w:val="nil"/>
            </w:tcBorders>
            <w:noWrap/>
            <w:vAlign w:val="center"/>
          </w:tcPr>
          <w:p w14:paraId="529243E1" w14:textId="77777777" w:rsidR="00B30BC5" w:rsidRPr="00067F65" w:rsidRDefault="00B30BC5" w:rsidP="00D558C5">
            <w:pPr>
              <w:spacing w:after="0" w:line="240" w:lineRule="auto"/>
              <w:rPr>
                <w:rFonts w:ascii="Times New Roman" w:hAnsi="Times New Roman" w:cs="Times New Roman"/>
                <w:sz w:val="20"/>
                <w:szCs w:val="20"/>
                <w:lang w:eastAsia="hr-HR"/>
              </w:rPr>
            </w:pPr>
          </w:p>
        </w:tc>
      </w:tr>
      <w:tr w:rsidR="00B30BC5" w:rsidRPr="00067F65" w14:paraId="24201B32" w14:textId="77777777" w:rsidTr="00D558C5">
        <w:trPr>
          <w:trHeight w:val="266"/>
          <w:jc w:val="center"/>
        </w:trPr>
        <w:tc>
          <w:tcPr>
            <w:tcW w:w="178" w:type="dxa"/>
            <w:tcBorders>
              <w:top w:val="nil"/>
              <w:left w:val="nil"/>
              <w:bottom w:val="nil"/>
              <w:right w:val="nil"/>
            </w:tcBorders>
            <w:noWrap/>
            <w:vAlign w:val="bottom"/>
          </w:tcPr>
          <w:p w14:paraId="33E99008" w14:textId="77777777" w:rsidR="00B30BC5" w:rsidRPr="00067F65" w:rsidRDefault="00B30BC5" w:rsidP="00D558C5">
            <w:pPr>
              <w:spacing w:after="0" w:line="240" w:lineRule="auto"/>
              <w:jc w:val="center"/>
              <w:rPr>
                <w:rFonts w:ascii="Times New Roman" w:hAnsi="Times New Roman" w:cs="Times New Roman"/>
                <w:sz w:val="20"/>
                <w:szCs w:val="20"/>
                <w:lang w:eastAsia="hr-HR"/>
              </w:rPr>
            </w:pPr>
          </w:p>
        </w:tc>
        <w:tc>
          <w:tcPr>
            <w:tcW w:w="9871" w:type="dxa"/>
            <w:gridSpan w:val="5"/>
            <w:tcBorders>
              <w:top w:val="nil"/>
              <w:left w:val="nil"/>
              <w:bottom w:val="nil"/>
              <w:right w:val="nil"/>
            </w:tcBorders>
            <w:vAlign w:val="center"/>
          </w:tcPr>
          <w:p w14:paraId="22474B4A" w14:textId="77777777" w:rsidR="00B30BC5" w:rsidRPr="00067F65" w:rsidRDefault="00B30BC5" w:rsidP="00D558C5">
            <w:pPr>
              <w:spacing w:after="0" w:line="240" w:lineRule="auto"/>
              <w:jc w:val="center"/>
              <w:rPr>
                <w:i/>
                <w:iCs/>
                <w:color w:val="000000"/>
                <w:sz w:val="20"/>
                <w:szCs w:val="20"/>
                <w:lang w:eastAsia="hr-HR"/>
              </w:rPr>
            </w:pPr>
            <w:r w:rsidRPr="00067F65">
              <w:rPr>
                <w:i/>
                <w:iCs/>
                <w:color w:val="000000"/>
                <w:sz w:val="20"/>
                <w:szCs w:val="20"/>
                <w:lang w:eastAsia="hr-HR"/>
              </w:rPr>
              <w:t xml:space="preserve">                                (tiskano upisati ime i prezime ovlaštene osobe ponuditelja)</w:t>
            </w:r>
          </w:p>
        </w:tc>
      </w:tr>
      <w:tr w:rsidR="00B30BC5" w:rsidRPr="00067F65" w14:paraId="6CA7F105" w14:textId="77777777" w:rsidTr="00D558C5">
        <w:trPr>
          <w:trHeight w:val="266"/>
          <w:jc w:val="center"/>
        </w:trPr>
        <w:tc>
          <w:tcPr>
            <w:tcW w:w="178" w:type="dxa"/>
            <w:tcBorders>
              <w:top w:val="nil"/>
              <w:left w:val="nil"/>
              <w:bottom w:val="nil"/>
              <w:right w:val="nil"/>
            </w:tcBorders>
            <w:noWrap/>
            <w:vAlign w:val="bottom"/>
          </w:tcPr>
          <w:p w14:paraId="7EC00150" w14:textId="77777777" w:rsidR="00B30BC5" w:rsidRPr="00067F65" w:rsidRDefault="00B30BC5" w:rsidP="00D558C5">
            <w:pPr>
              <w:spacing w:after="0" w:line="240" w:lineRule="auto"/>
              <w:jc w:val="center"/>
              <w:rPr>
                <w:i/>
                <w:iCs/>
                <w:color w:val="000000"/>
                <w:sz w:val="20"/>
                <w:szCs w:val="20"/>
                <w:lang w:eastAsia="hr-HR"/>
              </w:rPr>
            </w:pPr>
          </w:p>
        </w:tc>
        <w:tc>
          <w:tcPr>
            <w:tcW w:w="178" w:type="dxa"/>
            <w:tcBorders>
              <w:top w:val="nil"/>
              <w:left w:val="nil"/>
              <w:bottom w:val="nil"/>
              <w:right w:val="nil"/>
            </w:tcBorders>
            <w:noWrap/>
            <w:vAlign w:val="bottom"/>
          </w:tcPr>
          <w:p w14:paraId="26FF4417" w14:textId="77777777" w:rsidR="00B30BC5" w:rsidRPr="00067F65" w:rsidRDefault="00B30BC5" w:rsidP="00D558C5">
            <w:pPr>
              <w:spacing w:after="0" w:line="240" w:lineRule="auto"/>
              <w:jc w:val="center"/>
              <w:rPr>
                <w:rFonts w:ascii="Times New Roman" w:hAnsi="Times New Roman" w:cs="Times New Roman"/>
                <w:sz w:val="20"/>
                <w:szCs w:val="20"/>
                <w:lang w:eastAsia="hr-HR"/>
              </w:rPr>
            </w:pPr>
          </w:p>
        </w:tc>
        <w:tc>
          <w:tcPr>
            <w:tcW w:w="8693" w:type="dxa"/>
            <w:tcBorders>
              <w:top w:val="nil"/>
              <w:left w:val="nil"/>
              <w:bottom w:val="nil"/>
              <w:right w:val="nil"/>
            </w:tcBorders>
            <w:noWrap/>
            <w:vAlign w:val="bottom"/>
          </w:tcPr>
          <w:p w14:paraId="29E3DABB"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178" w:type="dxa"/>
            <w:tcBorders>
              <w:top w:val="nil"/>
              <w:left w:val="nil"/>
              <w:bottom w:val="nil"/>
              <w:right w:val="nil"/>
            </w:tcBorders>
            <w:noWrap/>
            <w:vAlign w:val="bottom"/>
          </w:tcPr>
          <w:p w14:paraId="254B1080"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381" w:type="dxa"/>
            <w:tcBorders>
              <w:top w:val="nil"/>
              <w:left w:val="nil"/>
              <w:bottom w:val="nil"/>
              <w:right w:val="nil"/>
            </w:tcBorders>
            <w:noWrap/>
            <w:vAlign w:val="bottom"/>
          </w:tcPr>
          <w:p w14:paraId="4BC4CCCD"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438" w:type="dxa"/>
            <w:tcBorders>
              <w:top w:val="nil"/>
              <w:left w:val="nil"/>
              <w:bottom w:val="nil"/>
              <w:right w:val="nil"/>
            </w:tcBorders>
            <w:noWrap/>
            <w:vAlign w:val="bottom"/>
          </w:tcPr>
          <w:p w14:paraId="57F1A731" w14:textId="77777777" w:rsidR="00B30BC5" w:rsidRPr="00067F65" w:rsidRDefault="00B30BC5" w:rsidP="00D558C5">
            <w:pPr>
              <w:spacing w:after="0" w:line="240" w:lineRule="auto"/>
              <w:rPr>
                <w:rFonts w:ascii="Times New Roman" w:hAnsi="Times New Roman" w:cs="Times New Roman"/>
                <w:sz w:val="20"/>
                <w:szCs w:val="20"/>
                <w:lang w:eastAsia="hr-HR"/>
              </w:rPr>
            </w:pPr>
          </w:p>
        </w:tc>
      </w:tr>
      <w:tr w:rsidR="00B30BC5" w:rsidRPr="00067F65" w14:paraId="6CC45201" w14:textId="77777777" w:rsidTr="00D558C5">
        <w:trPr>
          <w:trHeight w:val="266"/>
          <w:jc w:val="center"/>
        </w:trPr>
        <w:tc>
          <w:tcPr>
            <w:tcW w:w="178" w:type="dxa"/>
            <w:tcBorders>
              <w:top w:val="nil"/>
              <w:left w:val="nil"/>
              <w:bottom w:val="nil"/>
              <w:right w:val="nil"/>
            </w:tcBorders>
            <w:noWrap/>
            <w:vAlign w:val="bottom"/>
          </w:tcPr>
          <w:p w14:paraId="01D62E14" w14:textId="77777777" w:rsidR="00B30BC5" w:rsidRPr="00067F65" w:rsidRDefault="00B30BC5" w:rsidP="00D558C5">
            <w:pPr>
              <w:spacing w:after="0" w:line="240" w:lineRule="auto"/>
              <w:rPr>
                <w:rFonts w:ascii="Times New Roman" w:hAnsi="Times New Roman" w:cs="Times New Roman"/>
                <w:sz w:val="20"/>
                <w:szCs w:val="20"/>
                <w:lang w:eastAsia="hr-HR"/>
              </w:rPr>
            </w:pPr>
          </w:p>
        </w:tc>
        <w:tc>
          <w:tcPr>
            <w:tcW w:w="178" w:type="dxa"/>
            <w:tcBorders>
              <w:top w:val="nil"/>
              <w:left w:val="nil"/>
              <w:bottom w:val="nil"/>
              <w:right w:val="nil"/>
            </w:tcBorders>
            <w:noWrap/>
            <w:vAlign w:val="center"/>
          </w:tcPr>
          <w:p w14:paraId="10B2600E" w14:textId="77777777" w:rsidR="00B30BC5" w:rsidRPr="00067F65" w:rsidRDefault="00B30BC5" w:rsidP="00D558C5">
            <w:pPr>
              <w:spacing w:after="0" w:line="240" w:lineRule="auto"/>
              <w:jc w:val="center"/>
              <w:rPr>
                <w:rFonts w:ascii="Times New Roman" w:hAnsi="Times New Roman" w:cs="Times New Roman"/>
                <w:sz w:val="20"/>
                <w:szCs w:val="20"/>
                <w:lang w:eastAsia="hr-HR"/>
              </w:rPr>
            </w:pPr>
          </w:p>
        </w:tc>
        <w:tc>
          <w:tcPr>
            <w:tcW w:w="8693" w:type="dxa"/>
            <w:tcBorders>
              <w:top w:val="nil"/>
              <w:left w:val="nil"/>
              <w:bottom w:val="nil"/>
              <w:right w:val="nil"/>
            </w:tcBorders>
            <w:noWrap/>
            <w:vAlign w:val="center"/>
          </w:tcPr>
          <w:p w14:paraId="261BA1B4" w14:textId="77777777" w:rsidR="00B30BC5" w:rsidRPr="00067F65" w:rsidRDefault="00B30BC5" w:rsidP="00D558C5">
            <w:pPr>
              <w:spacing w:after="0" w:line="240" w:lineRule="auto"/>
              <w:jc w:val="center"/>
              <w:rPr>
                <w:color w:val="000000"/>
                <w:sz w:val="20"/>
                <w:szCs w:val="20"/>
                <w:lang w:eastAsia="hr-HR"/>
              </w:rPr>
            </w:pPr>
            <w:r w:rsidRPr="00067F65">
              <w:rPr>
                <w:color w:val="000000"/>
                <w:sz w:val="20"/>
                <w:szCs w:val="20"/>
                <w:lang w:eastAsia="hr-HR"/>
              </w:rPr>
              <w:t xml:space="preserve">                                                            _________________________________________________________________________________</w:t>
            </w:r>
          </w:p>
        </w:tc>
        <w:tc>
          <w:tcPr>
            <w:tcW w:w="178" w:type="dxa"/>
            <w:tcBorders>
              <w:top w:val="nil"/>
              <w:left w:val="nil"/>
              <w:bottom w:val="nil"/>
              <w:right w:val="nil"/>
            </w:tcBorders>
            <w:noWrap/>
            <w:vAlign w:val="center"/>
          </w:tcPr>
          <w:p w14:paraId="0D172BBE" w14:textId="77777777" w:rsidR="00B30BC5" w:rsidRPr="00067F65" w:rsidRDefault="00B30BC5" w:rsidP="00D558C5">
            <w:pPr>
              <w:spacing w:after="0" w:line="240" w:lineRule="auto"/>
              <w:jc w:val="center"/>
              <w:rPr>
                <w:color w:val="000000"/>
                <w:sz w:val="20"/>
                <w:szCs w:val="20"/>
                <w:lang w:eastAsia="hr-HR"/>
              </w:rPr>
            </w:pPr>
          </w:p>
        </w:tc>
        <w:tc>
          <w:tcPr>
            <w:tcW w:w="381" w:type="dxa"/>
            <w:tcBorders>
              <w:top w:val="nil"/>
              <w:left w:val="nil"/>
              <w:bottom w:val="nil"/>
              <w:right w:val="nil"/>
            </w:tcBorders>
            <w:noWrap/>
            <w:vAlign w:val="center"/>
          </w:tcPr>
          <w:p w14:paraId="4CF5D816" w14:textId="77777777" w:rsidR="00B30BC5" w:rsidRPr="00067F65" w:rsidRDefault="00B30BC5" w:rsidP="00D558C5">
            <w:pPr>
              <w:spacing w:after="0" w:line="240" w:lineRule="auto"/>
              <w:jc w:val="center"/>
              <w:rPr>
                <w:rFonts w:ascii="Times New Roman" w:hAnsi="Times New Roman" w:cs="Times New Roman"/>
                <w:sz w:val="20"/>
                <w:szCs w:val="20"/>
                <w:lang w:eastAsia="hr-HR"/>
              </w:rPr>
            </w:pPr>
          </w:p>
        </w:tc>
        <w:tc>
          <w:tcPr>
            <w:tcW w:w="438" w:type="dxa"/>
            <w:tcBorders>
              <w:top w:val="nil"/>
              <w:left w:val="nil"/>
              <w:bottom w:val="nil"/>
              <w:right w:val="nil"/>
            </w:tcBorders>
            <w:noWrap/>
            <w:vAlign w:val="center"/>
          </w:tcPr>
          <w:p w14:paraId="0E6FA973" w14:textId="77777777" w:rsidR="00B30BC5" w:rsidRPr="00067F65" w:rsidRDefault="00B30BC5" w:rsidP="00D558C5">
            <w:pPr>
              <w:spacing w:after="0" w:line="240" w:lineRule="auto"/>
              <w:jc w:val="center"/>
              <w:rPr>
                <w:rFonts w:ascii="Times New Roman" w:hAnsi="Times New Roman" w:cs="Times New Roman"/>
                <w:sz w:val="20"/>
                <w:szCs w:val="20"/>
                <w:lang w:eastAsia="hr-HR"/>
              </w:rPr>
            </w:pPr>
          </w:p>
        </w:tc>
      </w:tr>
      <w:tr w:rsidR="00B30BC5" w:rsidRPr="00067F65" w14:paraId="062FDA11" w14:textId="77777777" w:rsidTr="00D558C5">
        <w:trPr>
          <w:trHeight w:val="266"/>
          <w:jc w:val="center"/>
        </w:trPr>
        <w:tc>
          <w:tcPr>
            <w:tcW w:w="178" w:type="dxa"/>
            <w:tcBorders>
              <w:top w:val="nil"/>
              <w:left w:val="nil"/>
              <w:bottom w:val="nil"/>
              <w:right w:val="nil"/>
            </w:tcBorders>
            <w:noWrap/>
            <w:vAlign w:val="bottom"/>
          </w:tcPr>
          <w:p w14:paraId="428AD72A" w14:textId="77777777" w:rsidR="00B30BC5" w:rsidRPr="00067F65" w:rsidRDefault="00B30BC5" w:rsidP="00D558C5">
            <w:pPr>
              <w:spacing w:after="0" w:line="240" w:lineRule="auto"/>
              <w:jc w:val="center"/>
              <w:rPr>
                <w:rFonts w:ascii="Times New Roman" w:hAnsi="Times New Roman" w:cs="Times New Roman"/>
                <w:sz w:val="20"/>
                <w:szCs w:val="20"/>
                <w:lang w:eastAsia="hr-HR"/>
              </w:rPr>
            </w:pPr>
          </w:p>
        </w:tc>
        <w:tc>
          <w:tcPr>
            <w:tcW w:w="178" w:type="dxa"/>
            <w:tcBorders>
              <w:top w:val="nil"/>
              <w:left w:val="nil"/>
              <w:bottom w:val="nil"/>
              <w:right w:val="nil"/>
            </w:tcBorders>
            <w:noWrap/>
            <w:vAlign w:val="bottom"/>
          </w:tcPr>
          <w:p w14:paraId="636D4830" w14:textId="77777777" w:rsidR="00B30BC5" w:rsidRPr="00067F65" w:rsidRDefault="00B30BC5" w:rsidP="00D558C5">
            <w:pPr>
              <w:spacing w:after="0" w:line="240" w:lineRule="auto"/>
              <w:jc w:val="center"/>
              <w:rPr>
                <w:rFonts w:ascii="Times New Roman" w:hAnsi="Times New Roman" w:cs="Times New Roman"/>
                <w:sz w:val="20"/>
                <w:szCs w:val="20"/>
                <w:lang w:eastAsia="hr-HR"/>
              </w:rPr>
            </w:pPr>
          </w:p>
        </w:tc>
        <w:tc>
          <w:tcPr>
            <w:tcW w:w="9254" w:type="dxa"/>
            <w:gridSpan w:val="3"/>
            <w:tcBorders>
              <w:top w:val="nil"/>
              <w:left w:val="nil"/>
              <w:bottom w:val="nil"/>
              <w:right w:val="nil"/>
            </w:tcBorders>
            <w:noWrap/>
            <w:vAlign w:val="bottom"/>
          </w:tcPr>
          <w:p w14:paraId="727742C9" w14:textId="77777777" w:rsidR="00B30BC5" w:rsidRPr="00067F65" w:rsidRDefault="00B30BC5" w:rsidP="00D558C5">
            <w:pPr>
              <w:spacing w:after="0" w:line="240" w:lineRule="auto"/>
              <w:rPr>
                <w:color w:val="000000"/>
                <w:lang w:eastAsia="hr-HR"/>
              </w:rPr>
            </w:pPr>
            <w:r w:rsidRPr="00067F65">
              <w:rPr>
                <w:color w:val="000000"/>
                <w:lang w:eastAsia="hr-HR"/>
              </w:rPr>
              <w:t xml:space="preserve">                             (potpis i pečat)</w:t>
            </w:r>
          </w:p>
        </w:tc>
        <w:tc>
          <w:tcPr>
            <w:tcW w:w="438" w:type="dxa"/>
            <w:tcBorders>
              <w:top w:val="nil"/>
              <w:left w:val="nil"/>
              <w:bottom w:val="nil"/>
              <w:right w:val="nil"/>
            </w:tcBorders>
            <w:noWrap/>
            <w:vAlign w:val="center"/>
          </w:tcPr>
          <w:p w14:paraId="644A01B1" w14:textId="77777777" w:rsidR="00B30BC5" w:rsidRPr="00067F65" w:rsidRDefault="00B30BC5" w:rsidP="00D558C5">
            <w:pPr>
              <w:spacing w:after="0" w:line="240" w:lineRule="auto"/>
              <w:rPr>
                <w:color w:val="000000"/>
                <w:sz w:val="20"/>
                <w:szCs w:val="20"/>
                <w:lang w:eastAsia="hr-HR"/>
              </w:rPr>
            </w:pPr>
            <w:r w:rsidRPr="00067F65">
              <w:rPr>
                <w:color w:val="000000"/>
                <w:sz w:val="20"/>
                <w:szCs w:val="20"/>
                <w:lang w:eastAsia="hr-HR"/>
              </w:rPr>
              <w:t xml:space="preserve">                                </w:t>
            </w:r>
          </w:p>
        </w:tc>
      </w:tr>
    </w:tbl>
    <w:p w14:paraId="4D1D2958" w14:textId="7D8D84AC" w:rsidR="00132AD7" w:rsidRDefault="00132AD7" w:rsidP="00AB2FDA">
      <w:pPr>
        <w:pStyle w:val="Azrastil"/>
        <w:rPr>
          <w:i/>
          <w:szCs w:val="24"/>
          <w:lang w:val="en-US"/>
        </w:rPr>
      </w:pPr>
    </w:p>
    <w:p w14:paraId="61B7966F" w14:textId="5C5BF4F6" w:rsidR="00AA7B93" w:rsidRDefault="00953546" w:rsidP="00AA7B93">
      <w:pPr>
        <w:pStyle w:val="Style1"/>
        <w:ind w:hanging="720"/>
        <w:rPr>
          <w:sz w:val="32"/>
        </w:rPr>
      </w:pPr>
      <w:bookmarkStart w:id="63" w:name="_Toc49244113"/>
      <w:bookmarkStart w:id="64" w:name="_Toc69823180"/>
      <w:r w:rsidRPr="00D37ACF">
        <w:rPr>
          <w:sz w:val="32"/>
        </w:rPr>
        <w:lastRenderedPageBreak/>
        <w:t xml:space="preserve">Prilog </w:t>
      </w:r>
      <w:r w:rsidR="00B30BC5">
        <w:rPr>
          <w:sz w:val="32"/>
        </w:rPr>
        <w:t>3</w:t>
      </w:r>
      <w:r>
        <w:rPr>
          <w:sz w:val="32"/>
        </w:rPr>
        <w:t xml:space="preserve"> – </w:t>
      </w:r>
      <w:bookmarkEnd w:id="63"/>
      <w:r w:rsidR="00AA7B93">
        <w:rPr>
          <w:sz w:val="32"/>
        </w:rPr>
        <w:t>PRIJEDLOG UGOVORA</w:t>
      </w:r>
      <w:bookmarkEnd w:id="64"/>
    </w:p>
    <w:p w14:paraId="10657C98" w14:textId="77777777" w:rsidR="00AA7B93" w:rsidRDefault="00AA7B93" w:rsidP="00AA7B93">
      <w:pPr>
        <w:pStyle w:val="Style1"/>
        <w:numPr>
          <w:ilvl w:val="0"/>
          <w:numId w:val="0"/>
        </w:numPr>
        <w:ind w:left="720"/>
        <w:rPr>
          <w:sz w:val="32"/>
        </w:rPr>
      </w:pPr>
    </w:p>
    <w:p w14:paraId="38E1A023" w14:textId="42A67408" w:rsidR="00AA7B93" w:rsidRPr="00584DBC" w:rsidRDefault="00AA7B93" w:rsidP="00AA7B93">
      <w:pPr>
        <w:spacing w:after="0"/>
        <w:jc w:val="both"/>
        <w:rPr>
          <w:sz w:val="24"/>
        </w:rPr>
      </w:pPr>
      <w:r>
        <w:rPr>
          <w:b/>
          <w:sz w:val="24"/>
        </w:rPr>
        <w:t>__________________________</w:t>
      </w:r>
      <w:r>
        <w:rPr>
          <w:sz w:val="24"/>
        </w:rPr>
        <w:t xml:space="preserve">, ____________________________________ </w:t>
      </w:r>
      <w:r w:rsidRPr="00584DBC">
        <w:rPr>
          <w:sz w:val="24"/>
        </w:rPr>
        <w:t xml:space="preserve"> ( u daljnjem  tekstu: Izvršitelj)</w:t>
      </w:r>
    </w:p>
    <w:p w14:paraId="42C91EA1" w14:textId="77777777" w:rsidR="00AA7B93" w:rsidRPr="00584DBC" w:rsidRDefault="00AA7B93" w:rsidP="00AA7B93">
      <w:pPr>
        <w:spacing w:after="0"/>
        <w:jc w:val="both"/>
        <w:rPr>
          <w:sz w:val="24"/>
        </w:rPr>
      </w:pPr>
      <w:r w:rsidRPr="00584DBC">
        <w:rPr>
          <w:sz w:val="24"/>
        </w:rPr>
        <w:t>i</w:t>
      </w:r>
    </w:p>
    <w:p w14:paraId="38A8DE01" w14:textId="77777777" w:rsidR="00AA7B93" w:rsidRPr="00584DBC" w:rsidRDefault="00AA7B93" w:rsidP="00AA7B93">
      <w:pPr>
        <w:spacing w:after="0"/>
        <w:jc w:val="both"/>
        <w:rPr>
          <w:sz w:val="24"/>
        </w:rPr>
      </w:pPr>
      <w:r w:rsidRPr="00584DBC">
        <w:rPr>
          <w:b/>
          <w:sz w:val="24"/>
        </w:rPr>
        <w:t>Klinika za infektivne bolesti «Dr.Fran Mihaljević» Zagreb</w:t>
      </w:r>
      <w:r w:rsidRPr="00584DBC">
        <w:rPr>
          <w:sz w:val="24"/>
        </w:rPr>
        <w:t xml:space="preserve">, Mirogojska 8, OIB 47767714195, koju zastupa ravnateljica prof. dr. sc. Alemka Markotić, dr. med. (u daljnjem tekstu:  Naručitelj) </w:t>
      </w:r>
    </w:p>
    <w:p w14:paraId="4159AC32" w14:textId="77777777" w:rsidR="00AA7B93" w:rsidRPr="00584DBC" w:rsidRDefault="00AA7B93" w:rsidP="00AA7B93">
      <w:pPr>
        <w:spacing w:after="0"/>
        <w:jc w:val="both"/>
        <w:rPr>
          <w:sz w:val="24"/>
        </w:rPr>
      </w:pPr>
    </w:p>
    <w:p w14:paraId="282FE038" w14:textId="77777777" w:rsidR="00AA7B93" w:rsidRPr="00584DBC" w:rsidRDefault="00AA7B93" w:rsidP="00AA7B93">
      <w:pPr>
        <w:spacing w:after="0"/>
        <w:jc w:val="both"/>
        <w:rPr>
          <w:sz w:val="24"/>
        </w:rPr>
      </w:pPr>
      <w:r w:rsidRPr="00584DBC">
        <w:rPr>
          <w:sz w:val="24"/>
        </w:rPr>
        <w:t>sklapaju</w:t>
      </w:r>
    </w:p>
    <w:p w14:paraId="4FB986F4" w14:textId="77777777" w:rsidR="00AA7B93" w:rsidRPr="00D37ACF" w:rsidRDefault="00AA7B93" w:rsidP="00AA7B93">
      <w:pPr>
        <w:pStyle w:val="Azrastil"/>
        <w:jc w:val="center"/>
        <w:rPr>
          <w:b/>
          <w:sz w:val="24"/>
          <w:lang w:val="en-GB"/>
        </w:rPr>
      </w:pPr>
      <w:r w:rsidRPr="00D37ACF">
        <w:rPr>
          <w:b/>
          <w:sz w:val="24"/>
          <w:lang w:val="en-GB"/>
        </w:rPr>
        <w:t>UGOVOR</w:t>
      </w:r>
    </w:p>
    <w:p w14:paraId="1B7B2AD7" w14:textId="161D41F0" w:rsidR="00AA7B93" w:rsidRPr="00D37ACF" w:rsidRDefault="00AA7B93" w:rsidP="00AA7B93">
      <w:pPr>
        <w:pStyle w:val="Azrastil"/>
        <w:jc w:val="center"/>
        <w:rPr>
          <w:b/>
          <w:sz w:val="24"/>
          <w:lang w:val="en-GB"/>
        </w:rPr>
      </w:pPr>
      <w:r w:rsidRPr="00D37ACF">
        <w:rPr>
          <w:b/>
          <w:sz w:val="24"/>
          <w:lang w:val="en-GB"/>
        </w:rPr>
        <w:t xml:space="preserve">O </w:t>
      </w:r>
      <w:r>
        <w:rPr>
          <w:b/>
          <w:sz w:val="24"/>
          <w:lang w:val="en-GB"/>
        </w:rPr>
        <w:t>USLUZI ODRŽAVANJA AGREGATA</w:t>
      </w:r>
    </w:p>
    <w:p w14:paraId="5F2738AB" w14:textId="4599381B" w:rsidR="00AA7B93" w:rsidRPr="00D37ACF" w:rsidRDefault="00AA7B93" w:rsidP="00AA7B93">
      <w:pPr>
        <w:pStyle w:val="Azrastil"/>
        <w:jc w:val="center"/>
        <w:rPr>
          <w:b/>
          <w:bCs/>
          <w:sz w:val="24"/>
          <w:lang w:val="en-GB"/>
        </w:rPr>
      </w:pPr>
      <w:r>
        <w:rPr>
          <w:b/>
          <w:bCs/>
          <w:sz w:val="24"/>
          <w:lang w:val="en-GB"/>
        </w:rPr>
        <w:t>Broj 18/2021</w:t>
      </w:r>
      <w:r w:rsidRPr="00D37ACF">
        <w:rPr>
          <w:b/>
          <w:bCs/>
          <w:sz w:val="24"/>
          <w:lang w:val="en-GB"/>
        </w:rPr>
        <w:t xml:space="preserve"> JN</w:t>
      </w:r>
    </w:p>
    <w:p w14:paraId="241E8FAF" w14:textId="7F80CFAD" w:rsidR="00AA7B93" w:rsidRPr="00D37ACF" w:rsidRDefault="00AA7B93" w:rsidP="00821E0A">
      <w:pPr>
        <w:pStyle w:val="Azrastil"/>
        <w:rPr>
          <w:rFonts w:eastAsia="Times New Roman"/>
          <w:b/>
          <w:bCs/>
          <w:sz w:val="24"/>
        </w:rPr>
      </w:pPr>
    </w:p>
    <w:p w14:paraId="437AE598" w14:textId="77777777" w:rsidR="00AA7B93" w:rsidRPr="00212F86" w:rsidRDefault="00AA7B93" w:rsidP="00AA7B93">
      <w:pPr>
        <w:pStyle w:val="Azrastil"/>
        <w:jc w:val="center"/>
        <w:rPr>
          <w:rFonts w:eastAsia="Times New Roman"/>
          <w:b/>
          <w:bCs/>
          <w:sz w:val="24"/>
          <w:szCs w:val="24"/>
        </w:rPr>
      </w:pPr>
      <w:r w:rsidRPr="00212F86">
        <w:rPr>
          <w:rFonts w:eastAsia="Times New Roman"/>
          <w:b/>
          <w:bCs/>
          <w:sz w:val="24"/>
          <w:szCs w:val="24"/>
        </w:rPr>
        <w:t>PREDMET UGOVORA</w:t>
      </w:r>
    </w:p>
    <w:p w14:paraId="5CC6DAD3" w14:textId="77777777" w:rsidR="00AA7B93" w:rsidRPr="00212F86" w:rsidRDefault="00AA7B93" w:rsidP="00AA7B93">
      <w:pPr>
        <w:pStyle w:val="Azrastil"/>
        <w:jc w:val="center"/>
        <w:rPr>
          <w:b/>
          <w:sz w:val="24"/>
          <w:szCs w:val="24"/>
          <w:lang w:val="en-GB"/>
        </w:rPr>
      </w:pPr>
      <w:r w:rsidRPr="00212F86">
        <w:rPr>
          <w:b/>
          <w:sz w:val="24"/>
          <w:szCs w:val="24"/>
          <w:lang w:val="en-GB"/>
        </w:rPr>
        <w:t>Članak 1</w:t>
      </w:r>
    </w:p>
    <w:p w14:paraId="53C5ABFD" w14:textId="784E9A63" w:rsidR="00AA7B93" w:rsidRPr="00212F86" w:rsidRDefault="00AA7B93" w:rsidP="00AA7B93">
      <w:pPr>
        <w:spacing w:after="0"/>
        <w:jc w:val="both"/>
        <w:rPr>
          <w:b/>
          <w:sz w:val="24"/>
          <w:szCs w:val="24"/>
        </w:rPr>
      </w:pPr>
      <w:r w:rsidRPr="00212F86">
        <w:rPr>
          <w:sz w:val="24"/>
          <w:szCs w:val="24"/>
        </w:rPr>
        <w:t xml:space="preserve">Ugovorne strane sklapaju ovaj ugovor na </w:t>
      </w:r>
      <w:r w:rsidR="00B30BC5">
        <w:rPr>
          <w:sz w:val="24"/>
          <w:szCs w:val="24"/>
        </w:rPr>
        <w:t xml:space="preserve">temelju ponude Izvršitelja broj </w:t>
      </w:r>
      <w:r w:rsidR="00B30BC5">
        <w:rPr>
          <w:sz w:val="24"/>
          <w:szCs w:val="24"/>
        </w:rPr>
        <w:softHyphen/>
      </w:r>
      <w:r w:rsidR="00B30BC5">
        <w:rPr>
          <w:sz w:val="24"/>
          <w:szCs w:val="24"/>
        </w:rPr>
        <w:softHyphen/>
      </w:r>
      <w:r w:rsidR="00B30BC5">
        <w:rPr>
          <w:sz w:val="24"/>
          <w:szCs w:val="24"/>
        </w:rPr>
        <w:softHyphen/>
      </w:r>
      <w:r w:rsidR="00B30BC5">
        <w:rPr>
          <w:sz w:val="24"/>
          <w:szCs w:val="24"/>
        </w:rPr>
        <w:softHyphen/>
      </w:r>
      <w:r w:rsidR="00B30BC5">
        <w:rPr>
          <w:sz w:val="24"/>
          <w:szCs w:val="24"/>
        </w:rPr>
        <w:softHyphen/>
        <w:t>__________</w:t>
      </w:r>
      <w:r w:rsidRPr="00212F86">
        <w:rPr>
          <w:sz w:val="24"/>
          <w:szCs w:val="24"/>
        </w:rPr>
        <w:t xml:space="preserve"> od </w:t>
      </w:r>
      <w:r w:rsidR="00B30BC5">
        <w:rPr>
          <w:sz w:val="24"/>
          <w:szCs w:val="24"/>
        </w:rPr>
        <w:t>____________</w:t>
      </w:r>
      <w:r w:rsidRPr="00212F86">
        <w:rPr>
          <w:sz w:val="24"/>
          <w:szCs w:val="24"/>
        </w:rPr>
        <w:t xml:space="preserve"> podnesene u postupku jednostavne nabave br. </w:t>
      </w:r>
      <w:r w:rsidRPr="00AA7B93">
        <w:rPr>
          <w:sz w:val="24"/>
          <w:szCs w:val="24"/>
        </w:rPr>
        <w:t>___/2021 JN</w:t>
      </w:r>
      <w:r w:rsidRPr="00212F86">
        <w:rPr>
          <w:sz w:val="24"/>
          <w:szCs w:val="24"/>
        </w:rPr>
        <w:t xml:space="preserve"> za predmet nabave: </w:t>
      </w:r>
      <w:r w:rsidRPr="00AA7B93">
        <w:rPr>
          <w:sz w:val="24"/>
          <w:szCs w:val="24"/>
        </w:rPr>
        <w:t>__________________</w:t>
      </w:r>
      <w:r w:rsidRPr="00212F86">
        <w:rPr>
          <w:b/>
          <w:sz w:val="24"/>
          <w:szCs w:val="24"/>
        </w:rPr>
        <w:t>.</w:t>
      </w:r>
    </w:p>
    <w:p w14:paraId="6163F2DB" w14:textId="77777777" w:rsidR="00AA7B93" w:rsidRPr="00212F86" w:rsidRDefault="00AA7B93" w:rsidP="00AA7B93">
      <w:pPr>
        <w:spacing w:after="0"/>
        <w:jc w:val="both"/>
        <w:rPr>
          <w:sz w:val="24"/>
          <w:szCs w:val="24"/>
        </w:rPr>
      </w:pPr>
      <w:r w:rsidRPr="00212F86">
        <w:rPr>
          <w:sz w:val="24"/>
          <w:szCs w:val="24"/>
        </w:rPr>
        <w:t>Prihvaćena Ponuda i Troškovnik Izvršitelja priložena je ovom Ugovoru i čini njegov sastavni dio.</w:t>
      </w:r>
    </w:p>
    <w:p w14:paraId="160C441F" w14:textId="068EBA06" w:rsidR="00AA7B93" w:rsidRPr="00212F86" w:rsidRDefault="00AA7B93" w:rsidP="00821E0A">
      <w:pPr>
        <w:pStyle w:val="Azrastil"/>
        <w:rPr>
          <w:rFonts w:eastAsia="Arial Unicode MS"/>
          <w:b/>
          <w:sz w:val="24"/>
          <w:szCs w:val="24"/>
        </w:rPr>
      </w:pPr>
    </w:p>
    <w:p w14:paraId="6F9E04F1" w14:textId="77777777" w:rsidR="00AA7B93" w:rsidRPr="00212F86" w:rsidRDefault="00AA7B93" w:rsidP="00AA7B93">
      <w:pPr>
        <w:pStyle w:val="Azrastil"/>
        <w:jc w:val="center"/>
        <w:rPr>
          <w:rFonts w:eastAsia="Arial Unicode MS"/>
          <w:b/>
          <w:sz w:val="24"/>
          <w:szCs w:val="24"/>
        </w:rPr>
      </w:pPr>
      <w:r w:rsidRPr="00212F86">
        <w:rPr>
          <w:rFonts w:eastAsia="Arial Unicode MS"/>
          <w:b/>
          <w:sz w:val="24"/>
          <w:szCs w:val="24"/>
        </w:rPr>
        <w:t>VRIJEDNOST UGOVORA</w:t>
      </w:r>
    </w:p>
    <w:p w14:paraId="1C308DC9" w14:textId="77777777" w:rsidR="00AA7B93" w:rsidRPr="00212F86" w:rsidRDefault="00AA7B93" w:rsidP="00AA7B93">
      <w:pPr>
        <w:pStyle w:val="Azrastil"/>
        <w:jc w:val="center"/>
        <w:rPr>
          <w:b/>
          <w:sz w:val="24"/>
          <w:szCs w:val="24"/>
        </w:rPr>
      </w:pPr>
      <w:r w:rsidRPr="00212F86">
        <w:rPr>
          <w:b/>
          <w:sz w:val="24"/>
          <w:szCs w:val="24"/>
        </w:rPr>
        <w:t>Članak 2</w:t>
      </w:r>
    </w:p>
    <w:p w14:paraId="0DBC11CB" w14:textId="6600062A" w:rsidR="00AA7B93" w:rsidRPr="00212F86" w:rsidRDefault="00AA7B93" w:rsidP="00AA7B93">
      <w:pPr>
        <w:spacing w:after="0"/>
        <w:jc w:val="both"/>
        <w:rPr>
          <w:sz w:val="24"/>
          <w:szCs w:val="24"/>
        </w:rPr>
      </w:pPr>
      <w:r>
        <w:rPr>
          <w:sz w:val="24"/>
          <w:szCs w:val="24"/>
        </w:rPr>
        <w:t>Vrijednost ugovora iznosi ______________</w:t>
      </w:r>
      <w:r w:rsidRPr="00EA6164">
        <w:rPr>
          <w:b/>
          <w:sz w:val="24"/>
          <w:szCs w:val="24"/>
        </w:rPr>
        <w:t xml:space="preserve"> </w:t>
      </w:r>
      <w:r w:rsidRPr="00AA7B93">
        <w:rPr>
          <w:sz w:val="24"/>
          <w:szCs w:val="24"/>
        </w:rPr>
        <w:t>kn bez PDV-a</w:t>
      </w:r>
      <w:r w:rsidRPr="00212F86">
        <w:rPr>
          <w:sz w:val="24"/>
          <w:szCs w:val="24"/>
        </w:rPr>
        <w:t xml:space="preserve">, odnosno </w:t>
      </w:r>
      <w:r>
        <w:rPr>
          <w:sz w:val="24"/>
          <w:szCs w:val="24"/>
        </w:rPr>
        <w:t>______________</w:t>
      </w:r>
      <w:r w:rsidRPr="00AA7B93">
        <w:rPr>
          <w:sz w:val="24"/>
          <w:szCs w:val="24"/>
        </w:rPr>
        <w:t xml:space="preserve"> PDV-om</w:t>
      </w:r>
      <w:r w:rsidRPr="00212F86">
        <w:rPr>
          <w:sz w:val="24"/>
          <w:szCs w:val="24"/>
        </w:rPr>
        <w:t xml:space="preserve"> uključujući sve troškove vezane uz pružanje usluge.</w:t>
      </w:r>
    </w:p>
    <w:p w14:paraId="03034DF3" w14:textId="77777777" w:rsidR="00AA7B93" w:rsidRPr="00212F86" w:rsidRDefault="00AA7B93" w:rsidP="00AA7B93">
      <w:pPr>
        <w:spacing w:after="0"/>
        <w:jc w:val="both"/>
        <w:rPr>
          <w:sz w:val="24"/>
          <w:szCs w:val="24"/>
        </w:rPr>
      </w:pPr>
      <w:r w:rsidRPr="00212F86">
        <w:rPr>
          <w:sz w:val="24"/>
          <w:szCs w:val="24"/>
        </w:rPr>
        <w:t>Ugovor se sklapa na razdoblje od 12 ( dvanaest ) mjeseci od dana potpisivanja ugovora obje ugovorne strane.</w:t>
      </w:r>
    </w:p>
    <w:p w14:paraId="30D21568" w14:textId="77777777" w:rsidR="00AA7B93" w:rsidRPr="00212F86" w:rsidRDefault="00AA7B93" w:rsidP="00AA7B93">
      <w:pPr>
        <w:spacing w:after="0"/>
        <w:jc w:val="both"/>
        <w:rPr>
          <w:sz w:val="24"/>
          <w:szCs w:val="24"/>
        </w:rPr>
      </w:pPr>
      <w:r w:rsidRPr="00212F86">
        <w:rPr>
          <w:sz w:val="24"/>
          <w:szCs w:val="24"/>
        </w:rPr>
        <w:t>Cijene usluga utvrđene u Ponudi Izvršitelja su nepromjenjive i vrijede kroz cijelo vrijeme važenja Ugovora.</w:t>
      </w:r>
    </w:p>
    <w:p w14:paraId="068BFE1F" w14:textId="77777777" w:rsidR="00AA7B93" w:rsidRPr="00212F86" w:rsidRDefault="00AA7B93" w:rsidP="00AA7B93">
      <w:pPr>
        <w:pStyle w:val="Azrastil"/>
        <w:rPr>
          <w:sz w:val="24"/>
          <w:szCs w:val="24"/>
        </w:rPr>
      </w:pPr>
      <w:r w:rsidRPr="00212F86">
        <w:rPr>
          <w:sz w:val="24"/>
          <w:szCs w:val="24"/>
        </w:rPr>
        <w:tab/>
      </w:r>
    </w:p>
    <w:p w14:paraId="43A08C61" w14:textId="77777777" w:rsidR="00AA7B93" w:rsidRPr="00212F86" w:rsidRDefault="00AA7B93" w:rsidP="00AA7B93">
      <w:pPr>
        <w:spacing w:after="0"/>
        <w:jc w:val="center"/>
        <w:rPr>
          <w:rFonts w:cstheme="minorHAnsi"/>
          <w:b/>
          <w:sz w:val="24"/>
          <w:szCs w:val="24"/>
          <w:lang w:eastAsia="hr-HR"/>
        </w:rPr>
      </w:pPr>
      <w:r w:rsidRPr="00212F86">
        <w:rPr>
          <w:rFonts w:cstheme="minorHAnsi"/>
          <w:b/>
          <w:sz w:val="24"/>
          <w:szCs w:val="24"/>
          <w:lang w:eastAsia="hr-HR"/>
        </w:rPr>
        <w:t>PRAVA I OBVEZE IZVRŠITELJA</w:t>
      </w:r>
    </w:p>
    <w:p w14:paraId="01364A05" w14:textId="77777777" w:rsidR="00AA7B93" w:rsidRPr="00212F86" w:rsidRDefault="00AA7B93" w:rsidP="00AA7B93">
      <w:pPr>
        <w:spacing w:after="0"/>
        <w:jc w:val="center"/>
        <w:rPr>
          <w:rFonts w:cstheme="minorHAnsi"/>
          <w:b/>
          <w:sz w:val="24"/>
          <w:szCs w:val="24"/>
          <w:lang w:eastAsia="hr-HR"/>
        </w:rPr>
      </w:pPr>
      <w:r w:rsidRPr="00212F86">
        <w:rPr>
          <w:rFonts w:cstheme="minorHAnsi"/>
          <w:b/>
          <w:sz w:val="24"/>
          <w:szCs w:val="24"/>
          <w:lang w:eastAsia="hr-HR"/>
        </w:rPr>
        <w:t>Članak 3</w:t>
      </w:r>
    </w:p>
    <w:p w14:paraId="1AC2610F" w14:textId="77777777" w:rsidR="00AA7B93" w:rsidRPr="00212F86" w:rsidRDefault="00AA7B93" w:rsidP="00AA7B93">
      <w:pPr>
        <w:spacing w:after="0"/>
        <w:jc w:val="both"/>
        <w:rPr>
          <w:sz w:val="24"/>
          <w:szCs w:val="24"/>
        </w:rPr>
      </w:pPr>
      <w:r w:rsidRPr="00212F86">
        <w:rPr>
          <w:sz w:val="24"/>
          <w:szCs w:val="24"/>
        </w:rPr>
        <w:t>Usluge redovnog održavanja sastoji se od pružanja redovnog održavanja u Klinici za infektivne bolesti „dr. Fran Mihaljević“, prema specifikaciji iz troškovnika.</w:t>
      </w:r>
    </w:p>
    <w:p w14:paraId="2E123B9E" w14:textId="77777777" w:rsidR="00AA7B93" w:rsidRPr="00212F86" w:rsidRDefault="00AA7B93" w:rsidP="00AA7B93">
      <w:pPr>
        <w:spacing w:after="0"/>
        <w:jc w:val="both"/>
        <w:rPr>
          <w:sz w:val="24"/>
          <w:szCs w:val="24"/>
        </w:rPr>
      </w:pPr>
    </w:p>
    <w:p w14:paraId="09D09CAD" w14:textId="3B186EDB" w:rsidR="00821E0A" w:rsidRDefault="00AA7B93" w:rsidP="00B30BC5">
      <w:pPr>
        <w:spacing w:after="0"/>
        <w:jc w:val="both"/>
        <w:rPr>
          <w:sz w:val="24"/>
          <w:szCs w:val="24"/>
        </w:rPr>
      </w:pPr>
      <w:r w:rsidRPr="00212F86">
        <w:rPr>
          <w:sz w:val="24"/>
          <w:szCs w:val="24"/>
        </w:rPr>
        <w:t>Izvršitelj se obvezuje uslugu izvoditi kvalitetno u svemu prema tehničkim propisima, normativima i obveznim standardima, koji vrijede za ovu vrstu usluge, ugraditi materijale i druge proizvode i opremu koji odgovaraju opisanim standardima od kojih zavis</w:t>
      </w:r>
      <w:r w:rsidR="00B30BC5">
        <w:rPr>
          <w:sz w:val="24"/>
          <w:szCs w:val="24"/>
        </w:rPr>
        <w:t>i sigurnost i trajnost uređaja.</w:t>
      </w:r>
    </w:p>
    <w:p w14:paraId="33618AD8" w14:textId="29FF6DE8" w:rsidR="00B30BC5" w:rsidRDefault="00B30BC5" w:rsidP="00B30BC5">
      <w:pPr>
        <w:spacing w:after="0"/>
        <w:jc w:val="both"/>
        <w:rPr>
          <w:sz w:val="24"/>
          <w:szCs w:val="24"/>
        </w:rPr>
      </w:pPr>
    </w:p>
    <w:p w14:paraId="472834B9" w14:textId="446D5DB9" w:rsidR="00B30BC5" w:rsidRDefault="00B30BC5" w:rsidP="00B30BC5">
      <w:pPr>
        <w:spacing w:after="0"/>
        <w:jc w:val="both"/>
        <w:rPr>
          <w:sz w:val="24"/>
          <w:szCs w:val="24"/>
        </w:rPr>
      </w:pPr>
    </w:p>
    <w:p w14:paraId="32B16A0F" w14:textId="77777777" w:rsidR="00B30BC5" w:rsidRPr="00B30BC5" w:rsidRDefault="00B30BC5" w:rsidP="00B30BC5">
      <w:pPr>
        <w:spacing w:after="0"/>
        <w:jc w:val="both"/>
        <w:rPr>
          <w:sz w:val="24"/>
          <w:szCs w:val="24"/>
        </w:rPr>
      </w:pPr>
    </w:p>
    <w:p w14:paraId="4F49E78C" w14:textId="77777777" w:rsidR="00821E0A" w:rsidRDefault="00821E0A" w:rsidP="00AA7B93">
      <w:pPr>
        <w:spacing w:after="0"/>
        <w:jc w:val="center"/>
        <w:rPr>
          <w:rFonts w:cstheme="minorHAnsi"/>
          <w:b/>
          <w:sz w:val="24"/>
          <w:szCs w:val="24"/>
          <w:lang w:eastAsia="hr-HR"/>
        </w:rPr>
      </w:pPr>
    </w:p>
    <w:p w14:paraId="1EA17CAA" w14:textId="77777777" w:rsidR="00AA7B93" w:rsidRPr="00212F86" w:rsidRDefault="00AA7B93" w:rsidP="00AA7B93">
      <w:pPr>
        <w:spacing w:after="0"/>
        <w:jc w:val="center"/>
        <w:rPr>
          <w:rFonts w:cstheme="minorHAnsi"/>
          <w:b/>
          <w:sz w:val="24"/>
          <w:szCs w:val="24"/>
          <w:lang w:eastAsia="hr-HR"/>
        </w:rPr>
      </w:pPr>
      <w:r w:rsidRPr="00212F86">
        <w:rPr>
          <w:rFonts w:cstheme="minorHAnsi"/>
          <w:b/>
          <w:sz w:val="24"/>
          <w:szCs w:val="24"/>
          <w:lang w:eastAsia="hr-HR"/>
        </w:rPr>
        <w:lastRenderedPageBreak/>
        <w:t>Članak 4</w:t>
      </w:r>
    </w:p>
    <w:p w14:paraId="3438467F" w14:textId="77777777" w:rsidR="00AA7B93" w:rsidRPr="00212F86" w:rsidRDefault="00AA7B93" w:rsidP="00AA7B93">
      <w:pPr>
        <w:spacing w:after="0"/>
        <w:jc w:val="both"/>
        <w:rPr>
          <w:sz w:val="24"/>
          <w:szCs w:val="24"/>
        </w:rPr>
      </w:pPr>
      <w:r w:rsidRPr="00212F86">
        <w:rPr>
          <w:sz w:val="24"/>
          <w:szCs w:val="24"/>
        </w:rPr>
        <w:t>Izvršitelj se obvezuje izdati elektronički račun za mjesečni paušal početkom mjeseca za protekli mjesec. Elektronički račun mora sadržavati sve obvezne osnovne elemente sukladno posebnom propisu kojim se uređuje izdavanje, slanje, zaprimanje, obrada i pohrana elektroničkog računa.</w:t>
      </w:r>
    </w:p>
    <w:p w14:paraId="6DF54D93" w14:textId="77777777" w:rsidR="00AA7B93" w:rsidRPr="00212F86" w:rsidRDefault="00AA7B93" w:rsidP="00AA7B93">
      <w:pPr>
        <w:spacing w:after="0"/>
        <w:jc w:val="both"/>
        <w:rPr>
          <w:sz w:val="24"/>
          <w:szCs w:val="24"/>
        </w:rPr>
      </w:pPr>
    </w:p>
    <w:p w14:paraId="76ADFFA1" w14:textId="77777777" w:rsidR="00AA7B93" w:rsidRPr="00212F86" w:rsidRDefault="00AA7B93" w:rsidP="00AA7B93">
      <w:pPr>
        <w:spacing w:after="0"/>
        <w:jc w:val="both"/>
        <w:rPr>
          <w:sz w:val="24"/>
          <w:szCs w:val="24"/>
        </w:rPr>
      </w:pPr>
      <w:r w:rsidRPr="00212F86">
        <w:rPr>
          <w:sz w:val="24"/>
          <w:szCs w:val="24"/>
        </w:rPr>
        <w:t>Račun koji nije u skladu s ugovornim odredbama Naručitelj će odmah vratiti Izvršitelju.</w:t>
      </w:r>
    </w:p>
    <w:p w14:paraId="0C34ADD1" w14:textId="77777777" w:rsidR="00AA7B93" w:rsidRPr="00212F86" w:rsidRDefault="00AA7B93" w:rsidP="00AA7B93">
      <w:pPr>
        <w:spacing w:after="0"/>
        <w:jc w:val="both"/>
        <w:rPr>
          <w:sz w:val="24"/>
          <w:szCs w:val="24"/>
        </w:rPr>
      </w:pPr>
    </w:p>
    <w:p w14:paraId="5BFCD4CF" w14:textId="77777777" w:rsidR="00AA7B93" w:rsidRPr="00212F86" w:rsidRDefault="00AA7B93" w:rsidP="00AA7B93">
      <w:pPr>
        <w:spacing w:after="0"/>
        <w:jc w:val="both"/>
        <w:rPr>
          <w:sz w:val="24"/>
          <w:szCs w:val="24"/>
        </w:rPr>
      </w:pPr>
      <w:r w:rsidRPr="00212F86">
        <w:rPr>
          <w:sz w:val="24"/>
          <w:szCs w:val="24"/>
        </w:rPr>
        <w:t>Na elektroničkom računu, Izvršitelj mora navesti broj ugovora na temelju kojeg je ispostavio Naručitelju elektronički račun.</w:t>
      </w:r>
    </w:p>
    <w:p w14:paraId="0D7CF7A6" w14:textId="77777777" w:rsidR="00AA7B93" w:rsidRPr="00212F86" w:rsidRDefault="00AA7B93" w:rsidP="00AA7B93">
      <w:pPr>
        <w:pStyle w:val="Azrastil"/>
        <w:rPr>
          <w:sz w:val="24"/>
          <w:szCs w:val="24"/>
        </w:rPr>
      </w:pPr>
    </w:p>
    <w:p w14:paraId="0E3544BE" w14:textId="77777777" w:rsidR="00AA7B93" w:rsidRPr="00212F86" w:rsidRDefault="00AA7B93" w:rsidP="00AA7B93">
      <w:pPr>
        <w:pStyle w:val="Azrastil"/>
        <w:jc w:val="center"/>
        <w:rPr>
          <w:b/>
          <w:sz w:val="24"/>
          <w:szCs w:val="24"/>
        </w:rPr>
      </w:pPr>
      <w:r w:rsidRPr="00212F86">
        <w:rPr>
          <w:b/>
          <w:sz w:val="24"/>
          <w:szCs w:val="24"/>
        </w:rPr>
        <w:t>Članak 5</w:t>
      </w:r>
    </w:p>
    <w:p w14:paraId="2C9AF1A9" w14:textId="77777777" w:rsidR="00AA7B93" w:rsidRPr="00212F86" w:rsidRDefault="00AA7B93" w:rsidP="00AA7B93">
      <w:pPr>
        <w:spacing w:after="0"/>
        <w:jc w:val="both"/>
        <w:rPr>
          <w:sz w:val="24"/>
          <w:szCs w:val="24"/>
        </w:rPr>
      </w:pPr>
      <w:r w:rsidRPr="00212F86">
        <w:rPr>
          <w:sz w:val="24"/>
          <w:szCs w:val="24"/>
        </w:rPr>
        <w:t xml:space="preserve">Ukoliko Izvršitelj ne bude u mogućnosti izvršiti uslugu u roku, količini, kvaliteti ili po cijenama navedenim u Ponudi u sklopu ovog Ugovora dužan je o tome odmah dostaviti pisanu obavijest Naručitelju. </w:t>
      </w:r>
    </w:p>
    <w:p w14:paraId="4F35A28E" w14:textId="77777777" w:rsidR="00AA7B93" w:rsidRPr="00212F86" w:rsidRDefault="00AA7B93" w:rsidP="00AA7B93">
      <w:pPr>
        <w:spacing w:after="0"/>
        <w:jc w:val="both"/>
        <w:rPr>
          <w:sz w:val="24"/>
          <w:szCs w:val="24"/>
        </w:rPr>
      </w:pPr>
      <w:r w:rsidRPr="00212F86">
        <w:rPr>
          <w:sz w:val="24"/>
          <w:szCs w:val="24"/>
        </w:rPr>
        <w:t>U slučaju da Izvršitelj ne izvrši usluge sukladno Ponudi, Naručitelj može dogovoriti usluge po tekućoj cijeni na tržištu i zahtijevati od Izvršitelja razliku između cijene utvrđene ovim Ugovorom i cijene kupnje radi pokrića.</w:t>
      </w:r>
    </w:p>
    <w:p w14:paraId="57AA0A56" w14:textId="77777777" w:rsidR="00AA7B93" w:rsidRPr="00212F86" w:rsidRDefault="00AA7B93" w:rsidP="00AA7B93">
      <w:pPr>
        <w:pStyle w:val="Azrastil"/>
        <w:rPr>
          <w:sz w:val="24"/>
          <w:szCs w:val="24"/>
        </w:rPr>
      </w:pPr>
    </w:p>
    <w:p w14:paraId="315B5C89" w14:textId="77777777" w:rsidR="00AA7B93" w:rsidRPr="00212F86" w:rsidRDefault="00AA7B93" w:rsidP="00AA7B93">
      <w:pPr>
        <w:pStyle w:val="Azrastil"/>
        <w:jc w:val="center"/>
        <w:rPr>
          <w:b/>
          <w:sz w:val="24"/>
          <w:szCs w:val="24"/>
        </w:rPr>
      </w:pPr>
      <w:r w:rsidRPr="00212F86">
        <w:rPr>
          <w:b/>
          <w:sz w:val="24"/>
          <w:szCs w:val="24"/>
        </w:rPr>
        <w:t>Članak 6</w:t>
      </w:r>
    </w:p>
    <w:p w14:paraId="18F9BEB3" w14:textId="6EEFA259" w:rsidR="00AA7B93" w:rsidRPr="00212F86" w:rsidRDefault="00AA7B93" w:rsidP="00AA7B93">
      <w:pPr>
        <w:pStyle w:val="Azrastil"/>
        <w:rPr>
          <w:sz w:val="24"/>
          <w:szCs w:val="24"/>
          <w:lang w:val="en-GB"/>
        </w:rPr>
      </w:pPr>
      <w:r w:rsidRPr="00212F86">
        <w:rPr>
          <w:sz w:val="24"/>
          <w:szCs w:val="24"/>
          <w:lang w:val="en-GB"/>
        </w:rPr>
        <w:t xml:space="preserve">Izvršitelj će imenovati osobu odgovornu za uslugu održavanja. Izvršitelj za kontakt osobu 0-24h određuje sljedeću osobu: </w:t>
      </w:r>
      <w:r w:rsidR="00CF4BC5">
        <w:rPr>
          <w:sz w:val="24"/>
          <w:szCs w:val="24"/>
          <w:lang w:val="en-GB"/>
        </w:rPr>
        <w:t>____________________.</w:t>
      </w:r>
    </w:p>
    <w:p w14:paraId="196AD81E" w14:textId="24A58E4E" w:rsidR="00AA7B93" w:rsidRPr="00212F86" w:rsidRDefault="00AA7B93" w:rsidP="00B30BC5">
      <w:pPr>
        <w:pStyle w:val="Azrastil"/>
        <w:rPr>
          <w:b/>
          <w:sz w:val="24"/>
          <w:szCs w:val="24"/>
        </w:rPr>
      </w:pPr>
    </w:p>
    <w:p w14:paraId="32F1C74C" w14:textId="77777777" w:rsidR="00AA7B93" w:rsidRPr="00212F86" w:rsidRDefault="00AA7B93" w:rsidP="00AA7B93">
      <w:pPr>
        <w:pStyle w:val="Azrastil"/>
        <w:jc w:val="center"/>
        <w:rPr>
          <w:b/>
          <w:sz w:val="24"/>
          <w:szCs w:val="24"/>
        </w:rPr>
      </w:pPr>
      <w:r w:rsidRPr="00212F86">
        <w:rPr>
          <w:b/>
          <w:sz w:val="24"/>
          <w:szCs w:val="24"/>
        </w:rPr>
        <w:t>PRAVA I OBVEZE NARUČITELJA</w:t>
      </w:r>
    </w:p>
    <w:p w14:paraId="007784A2" w14:textId="77777777" w:rsidR="00AA7B93" w:rsidRPr="00212F86" w:rsidRDefault="00AA7B93" w:rsidP="00AA7B93">
      <w:pPr>
        <w:pStyle w:val="Azrastil"/>
        <w:jc w:val="center"/>
        <w:rPr>
          <w:b/>
          <w:sz w:val="24"/>
          <w:szCs w:val="24"/>
        </w:rPr>
      </w:pPr>
      <w:r w:rsidRPr="00212F86">
        <w:rPr>
          <w:b/>
          <w:sz w:val="24"/>
          <w:szCs w:val="24"/>
        </w:rPr>
        <w:t>Članak 7</w:t>
      </w:r>
    </w:p>
    <w:p w14:paraId="08317DBF" w14:textId="07CE4806" w:rsidR="00AA7B93" w:rsidRPr="00B30BC5" w:rsidRDefault="00AA7B93" w:rsidP="00B30BC5">
      <w:pPr>
        <w:pStyle w:val="Azrastil"/>
        <w:spacing w:before="240"/>
        <w:rPr>
          <w:sz w:val="24"/>
          <w:szCs w:val="24"/>
          <w:lang w:val="en-GB"/>
        </w:rPr>
      </w:pPr>
      <w:r w:rsidRPr="00212F86">
        <w:rPr>
          <w:sz w:val="24"/>
          <w:szCs w:val="24"/>
          <w:lang w:val="en-GB"/>
        </w:rPr>
        <w:t xml:space="preserve">Naručitelj će imenovati osobu odgovornu za kontrolu usluge održavanja koja će pratiti i kontrolirati izvršenje usluge. Naručitelj za kontakt osobu određuje sljedeću osobu: Krunoslav Erent, kontakt broj: </w:t>
      </w:r>
      <w:r w:rsidR="00B30BC5">
        <w:rPr>
          <w:sz w:val="24"/>
          <w:szCs w:val="24"/>
          <w:lang w:val="en-GB"/>
        </w:rPr>
        <w:t>091/4012-609.</w:t>
      </w:r>
    </w:p>
    <w:p w14:paraId="6DB1CF00" w14:textId="77777777" w:rsidR="00AA7B93" w:rsidRPr="00212F86" w:rsidRDefault="00AA7B93" w:rsidP="00CF4BC5">
      <w:pPr>
        <w:pStyle w:val="Azrastil"/>
        <w:jc w:val="center"/>
        <w:rPr>
          <w:b/>
          <w:sz w:val="24"/>
          <w:szCs w:val="24"/>
        </w:rPr>
      </w:pPr>
      <w:r w:rsidRPr="00212F86">
        <w:rPr>
          <w:b/>
          <w:sz w:val="24"/>
          <w:szCs w:val="24"/>
        </w:rPr>
        <w:t>Članak 8</w:t>
      </w:r>
    </w:p>
    <w:p w14:paraId="595F1FED" w14:textId="77777777" w:rsidR="00AA7B93" w:rsidRPr="00212F86" w:rsidRDefault="00AA7B93" w:rsidP="00CF4BC5">
      <w:pPr>
        <w:pStyle w:val="Azrastil"/>
        <w:jc w:val="both"/>
        <w:rPr>
          <w:rFonts w:cstheme="minorBidi"/>
          <w:noProof w:val="0"/>
          <w:sz w:val="24"/>
          <w:szCs w:val="24"/>
          <w:lang w:eastAsia="en-US"/>
        </w:rPr>
      </w:pPr>
      <w:r w:rsidRPr="00212F86">
        <w:rPr>
          <w:rFonts w:cstheme="minorBidi"/>
          <w:noProof w:val="0"/>
          <w:sz w:val="24"/>
          <w:szCs w:val="24"/>
          <w:lang w:eastAsia="en-US"/>
        </w:rPr>
        <w:t>Naručitelj se obvezuje da će svaki ispostavljeni elektronički račun platiti u roku od 60 dana od dana dostave elektroničkog računa na žiro-račun Izvršitelja.</w:t>
      </w:r>
    </w:p>
    <w:p w14:paraId="3158ACED" w14:textId="77777777" w:rsidR="00AA7B93" w:rsidRPr="00212F86" w:rsidRDefault="00AA7B93" w:rsidP="00B30BC5">
      <w:pPr>
        <w:pStyle w:val="Azrastil"/>
        <w:spacing w:before="240"/>
        <w:jc w:val="both"/>
        <w:rPr>
          <w:rFonts w:cstheme="minorBidi"/>
          <w:noProof w:val="0"/>
          <w:sz w:val="24"/>
          <w:szCs w:val="24"/>
          <w:lang w:eastAsia="en-US"/>
        </w:rPr>
      </w:pPr>
      <w:r w:rsidRPr="00212F86">
        <w:rPr>
          <w:rFonts w:cstheme="minorBidi"/>
          <w:noProof w:val="0"/>
          <w:sz w:val="24"/>
          <w:szCs w:val="24"/>
          <w:lang w:eastAsia="en-US"/>
        </w:rPr>
        <w:t>Početak roka plaćanja teče od dana primitka elektroničkog računa. Ukoliko Naručitelj vraća ispostavljeni račun, rok plaćanja ne teče do primitka ispravnog elektroničkog računa.</w:t>
      </w:r>
    </w:p>
    <w:p w14:paraId="324E47D2" w14:textId="3F57CC85" w:rsidR="00AA7B93" w:rsidRPr="00CF4BC5" w:rsidRDefault="00AA7B93" w:rsidP="00CF4BC5">
      <w:pPr>
        <w:pStyle w:val="Azrastil"/>
        <w:spacing w:before="240"/>
        <w:jc w:val="both"/>
        <w:rPr>
          <w:rFonts w:cstheme="minorBidi"/>
          <w:noProof w:val="0"/>
          <w:sz w:val="24"/>
          <w:szCs w:val="24"/>
          <w:lang w:eastAsia="en-US"/>
        </w:rPr>
      </w:pPr>
      <w:r w:rsidRPr="00212F86">
        <w:rPr>
          <w:rFonts w:cstheme="minorBidi"/>
          <w:noProof w:val="0"/>
          <w:sz w:val="24"/>
          <w:szCs w:val="24"/>
          <w:lang w:eastAsia="en-US"/>
        </w:rPr>
        <w:t>Ugovorne strane sporazumno utvrđuju da Izvršitelj neće moći svoje potraživanje prema Naručitelju prenijeti na drugoga be</w:t>
      </w:r>
      <w:r w:rsidR="00CF4BC5">
        <w:rPr>
          <w:rFonts w:cstheme="minorBidi"/>
          <w:noProof w:val="0"/>
          <w:sz w:val="24"/>
          <w:szCs w:val="24"/>
          <w:lang w:eastAsia="en-US"/>
        </w:rPr>
        <w:t>z prethodne pisane suglasnosti.</w:t>
      </w:r>
    </w:p>
    <w:p w14:paraId="002600BC" w14:textId="77777777" w:rsidR="00AA7B93" w:rsidRPr="00212F86" w:rsidRDefault="00AA7B93" w:rsidP="00CF4BC5">
      <w:pPr>
        <w:pStyle w:val="Azrastil"/>
        <w:jc w:val="center"/>
        <w:rPr>
          <w:b/>
          <w:bCs/>
          <w:color w:val="000000"/>
          <w:sz w:val="24"/>
          <w:szCs w:val="24"/>
        </w:rPr>
      </w:pPr>
      <w:r w:rsidRPr="00212F86">
        <w:rPr>
          <w:b/>
          <w:bCs/>
          <w:color w:val="000000"/>
          <w:sz w:val="24"/>
          <w:szCs w:val="24"/>
        </w:rPr>
        <w:t>RASKID UGOVORA</w:t>
      </w:r>
    </w:p>
    <w:p w14:paraId="4CF6DDAD" w14:textId="77777777" w:rsidR="00AA7B93" w:rsidRPr="00212F86" w:rsidRDefault="00AA7B93" w:rsidP="00CF4BC5">
      <w:pPr>
        <w:pStyle w:val="Azrastil"/>
        <w:jc w:val="center"/>
        <w:rPr>
          <w:b/>
          <w:bCs/>
          <w:color w:val="000000"/>
          <w:sz w:val="24"/>
          <w:szCs w:val="24"/>
        </w:rPr>
      </w:pPr>
      <w:r w:rsidRPr="00212F86">
        <w:rPr>
          <w:b/>
          <w:bCs/>
          <w:color w:val="000000"/>
          <w:sz w:val="24"/>
          <w:szCs w:val="24"/>
        </w:rPr>
        <w:t>Članak 9</w:t>
      </w:r>
    </w:p>
    <w:p w14:paraId="35A3043A" w14:textId="77777777" w:rsidR="00AA7B93" w:rsidRPr="00212F86" w:rsidRDefault="00AA7B93" w:rsidP="00CF4BC5">
      <w:pPr>
        <w:pStyle w:val="Azrastil"/>
        <w:jc w:val="both"/>
        <w:rPr>
          <w:rFonts w:cstheme="minorBidi"/>
          <w:noProof w:val="0"/>
          <w:sz w:val="24"/>
          <w:szCs w:val="24"/>
          <w:lang w:eastAsia="en-US"/>
        </w:rPr>
      </w:pPr>
      <w:r w:rsidRPr="00212F86">
        <w:rPr>
          <w:rFonts w:cstheme="minorBidi"/>
          <w:noProof w:val="0"/>
          <w:sz w:val="24"/>
          <w:szCs w:val="24"/>
          <w:lang w:eastAsia="en-US"/>
        </w:rPr>
        <w:t>Naručitelj zadržava pravo jednostranog raskida Ugovora. Otkazni rok je 30 dana.</w:t>
      </w:r>
    </w:p>
    <w:p w14:paraId="4DFD5899" w14:textId="2CAB61CE" w:rsidR="00CF4BC5" w:rsidRDefault="00AA7B93" w:rsidP="00CF4BC5">
      <w:pPr>
        <w:pStyle w:val="Azrastil"/>
        <w:jc w:val="both"/>
        <w:rPr>
          <w:rFonts w:cstheme="minorBidi"/>
          <w:noProof w:val="0"/>
          <w:sz w:val="24"/>
          <w:szCs w:val="24"/>
          <w:lang w:eastAsia="en-US"/>
        </w:rPr>
      </w:pPr>
      <w:r w:rsidRPr="00212F86">
        <w:rPr>
          <w:rFonts w:cstheme="minorBidi"/>
          <w:noProof w:val="0"/>
          <w:sz w:val="24"/>
          <w:szCs w:val="24"/>
          <w:lang w:eastAsia="en-US"/>
        </w:rPr>
        <w:t xml:space="preserve">Raskid ugovora dostavlja se </w:t>
      </w:r>
      <w:r w:rsidR="00B30BC5">
        <w:rPr>
          <w:rFonts w:cstheme="minorBidi"/>
          <w:noProof w:val="0"/>
          <w:sz w:val="24"/>
          <w:szCs w:val="24"/>
          <w:lang w:eastAsia="en-US"/>
        </w:rPr>
        <w:t>pisanim putem na dokaziv način.</w:t>
      </w:r>
    </w:p>
    <w:p w14:paraId="1756CB6C" w14:textId="7C6B2700" w:rsidR="00AA7B93" w:rsidRPr="00212F86" w:rsidRDefault="00AA7B93" w:rsidP="00CF4BC5">
      <w:pPr>
        <w:pStyle w:val="Azrastil"/>
        <w:jc w:val="center"/>
        <w:rPr>
          <w:rFonts w:eastAsia="Times New Roman"/>
          <w:b/>
          <w:sz w:val="24"/>
          <w:szCs w:val="24"/>
        </w:rPr>
      </w:pPr>
      <w:r>
        <w:rPr>
          <w:rFonts w:eastAsia="Times New Roman"/>
          <w:b/>
          <w:sz w:val="24"/>
          <w:szCs w:val="24"/>
        </w:rPr>
        <w:br/>
      </w:r>
      <w:r w:rsidRPr="00212F86">
        <w:rPr>
          <w:rFonts w:eastAsia="Times New Roman"/>
          <w:b/>
          <w:sz w:val="24"/>
          <w:szCs w:val="24"/>
        </w:rPr>
        <w:t>PRIJELAZNE I ZAVRŠNE ODREDBE</w:t>
      </w:r>
    </w:p>
    <w:p w14:paraId="77C6AAA0" w14:textId="7DD6F6A7" w:rsidR="00AA7B93" w:rsidRPr="00212F86" w:rsidRDefault="00CF4BC5" w:rsidP="00AA7B93">
      <w:pPr>
        <w:pStyle w:val="Azrastil"/>
        <w:jc w:val="center"/>
        <w:rPr>
          <w:b/>
          <w:sz w:val="24"/>
          <w:szCs w:val="24"/>
        </w:rPr>
      </w:pPr>
      <w:r>
        <w:rPr>
          <w:b/>
          <w:sz w:val="24"/>
          <w:szCs w:val="24"/>
        </w:rPr>
        <w:t>Članak 10</w:t>
      </w:r>
    </w:p>
    <w:p w14:paraId="1B8CA567" w14:textId="77777777" w:rsidR="00AA7B93" w:rsidRPr="00212F86" w:rsidRDefault="00AA7B93" w:rsidP="00AA7B93">
      <w:pPr>
        <w:pStyle w:val="Azrastil"/>
        <w:jc w:val="both"/>
        <w:rPr>
          <w:rFonts w:cstheme="minorBidi"/>
          <w:noProof w:val="0"/>
          <w:sz w:val="24"/>
          <w:szCs w:val="24"/>
          <w:lang w:eastAsia="en-US"/>
        </w:rPr>
      </w:pPr>
      <w:r w:rsidRPr="00212F86">
        <w:rPr>
          <w:rFonts w:cstheme="minorBidi"/>
          <w:noProof w:val="0"/>
          <w:sz w:val="24"/>
          <w:szCs w:val="24"/>
          <w:lang w:eastAsia="en-US"/>
        </w:rPr>
        <w:t>Za sve druge obveze iz ovog Ugovora, a koje stranke nisu ugovorile primjenjivat će se  odredbe Zakona o obveznim odnosima.</w:t>
      </w:r>
    </w:p>
    <w:p w14:paraId="7DB21BD5" w14:textId="77777777" w:rsidR="00AA7B93" w:rsidRPr="00212F86" w:rsidRDefault="00AA7B93" w:rsidP="00AA7B93">
      <w:pPr>
        <w:pStyle w:val="Azrastil"/>
        <w:jc w:val="both"/>
        <w:rPr>
          <w:rFonts w:cstheme="minorBidi"/>
          <w:noProof w:val="0"/>
          <w:sz w:val="24"/>
          <w:szCs w:val="24"/>
          <w:lang w:eastAsia="en-US"/>
        </w:rPr>
      </w:pPr>
    </w:p>
    <w:p w14:paraId="34E2BC28" w14:textId="68FD34F2" w:rsidR="00AA7B93" w:rsidRPr="00212F86" w:rsidRDefault="00CF4BC5" w:rsidP="00AA7B93">
      <w:pPr>
        <w:pStyle w:val="Azrastil"/>
        <w:jc w:val="center"/>
        <w:rPr>
          <w:b/>
          <w:sz w:val="24"/>
          <w:szCs w:val="24"/>
        </w:rPr>
      </w:pPr>
      <w:r>
        <w:rPr>
          <w:b/>
          <w:sz w:val="24"/>
          <w:szCs w:val="24"/>
        </w:rPr>
        <w:lastRenderedPageBreak/>
        <w:t>Članak 11</w:t>
      </w:r>
    </w:p>
    <w:p w14:paraId="79591515" w14:textId="77777777" w:rsidR="00AA7B93" w:rsidRPr="00212F86" w:rsidRDefault="00AA7B93" w:rsidP="00AA7B93">
      <w:pPr>
        <w:pStyle w:val="Azrastil"/>
        <w:jc w:val="both"/>
        <w:rPr>
          <w:rFonts w:cstheme="minorBidi"/>
          <w:noProof w:val="0"/>
          <w:sz w:val="24"/>
          <w:szCs w:val="24"/>
          <w:lang w:eastAsia="en-US"/>
        </w:rPr>
      </w:pPr>
      <w:r w:rsidRPr="00212F86">
        <w:rPr>
          <w:rFonts w:cstheme="minorBidi"/>
          <w:noProof w:val="0"/>
          <w:sz w:val="24"/>
          <w:szCs w:val="24"/>
          <w:lang w:eastAsia="en-US"/>
        </w:rPr>
        <w:t>Eventualne sporove vezane uz provedbu ovog Ugovora, ugovorne strane će pokušati riješiti sporazumno, a u slučaju nemogućnosti postizanja sporazuma priznaju nadležnost stvarno nadležnog suda u Zagrebu.</w:t>
      </w:r>
    </w:p>
    <w:p w14:paraId="698ABC90" w14:textId="77777777" w:rsidR="00AA7B93" w:rsidRPr="00212F86" w:rsidRDefault="00AA7B93" w:rsidP="00AA7B93">
      <w:pPr>
        <w:pStyle w:val="Azrastil"/>
        <w:rPr>
          <w:sz w:val="24"/>
          <w:szCs w:val="24"/>
        </w:rPr>
      </w:pPr>
    </w:p>
    <w:p w14:paraId="0A70DCEC" w14:textId="36FDCD3E" w:rsidR="00AA7B93" w:rsidRPr="00212F86" w:rsidRDefault="00CF4BC5" w:rsidP="00AA7B93">
      <w:pPr>
        <w:pStyle w:val="Azrastil"/>
        <w:jc w:val="center"/>
        <w:rPr>
          <w:b/>
          <w:sz w:val="24"/>
          <w:szCs w:val="24"/>
        </w:rPr>
      </w:pPr>
      <w:r>
        <w:rPr>
          <w:b/>
          <w:sz w:val="24"/>
          <w:szCs w:val="24"/>
        </w:rPr>
        <w:t>Članak 12</w:t>
      </w:r>
    </w:p>
    <w:p w14:paraId="26D7FFD6" w14:textId="77777777" w:rsidR="00AA7B93" w:rsidRPr="00212F86" w:rsidRDefault="00AA7B93" w:rsidP="00AA7B93">
      <w:pPr>
        <w:pStyle w:val="Azrastil"/>
        <w:jc w:val="both"/>
        <w:rPr>
          <w:rFonts w:cstheme="minorBidi"/>
          <w:noProof w:val="0"/>
          <w:sz w:val="24"/>
          <w:szCs w:val="24"/>
          <w:lang w:eastAsia="en-US"/>
        </w:rPr>
      </w:pPr>
      <w:r w:rsidRPr="00212F86">
        <w:rPr>
          <w:rFonts w:cstheme="minorBidi"/>
          <w:noProof w:val="0"/>
          <w:sz w:val="24"/>
          <w:szCs w:val="24"/>
          <w:lang w:eastAsia="en-US"/>
        </w:rPr>
        <w:t>Ovaj Ugovor sklopljen je u četiri (4) istovjetna primjerka, od kojih svaki ima dokazanu snagu izvornika, po dva (2) za svaku ugovornu stranu.</w:t>
      </w:r>
    </w:p>
    <w:p w14:paraId="477E6DC3" w14:textId="77777777" w:rsidR="00AA7B93" w:rsidRPr="0094074E" w:rsidRDefault="00AA7B93" w:rsidP="00AA7B93">
      <w:pPr>
        <w:pStyle w:val="Azrastil"/>
        <w:rPr>
          <w:sz w:val="24"/>
          <w:szCs w:val="24"/>
        </w:rPr>
      </w:pPr>
    </w:p>
    <w:p w14:paraId="5845B472" w14:textId="77777777" w:rsidR="00AA7B93" w:rsidRPr="0094074E" w:rsidRDefault="00AA7B93" w:rsidP="00AA7B93">
      <w:pPr>
        <w:pStyle w:val="Azrastil"/>
        <w:rPr>
          <w:sz w:val="24"/>
          <w:szCs w:val="24"/>
        </w:rPr>
      </w:pPr>
    </w:p>
    <w:p w14:paraId="052854C1" w14:textId="5621A5AC" w:rsidR="00AA7B93" w:rsidRPr="0094074E" w:rsidRDefault="00AA7B93" w:rsidP="00AA7B93">
      <w:pPr>
        <w:pStyle w:val="Azrastil"/>
        <w:rPr>
          <w:sz w:val="24"/>
          <w:szCs w:val="24"/>
        </w:rPr>
      </w:pPr>
      <w:r w:rsidRPr="0094074E">
        <w:rPr>
          <w:sz w:val="24"/>
          <w:szCs w:val="24"/>
        </w:rPr>
        <w:t>U.br. 01-</w:t>
      </w:r>
      <w:r w:rsidR="00CF4BC5">
        <w:rPr>
          <w:sz w:val="24"/>
          <w:szCs w:val="24"/>
        </w:rPr>
        <w:t>xxx</w:t>
      </w:r>
      <w:r w:rsidRPr="0094074E">
        <w:rPr>
          <w:sz w:val="24"/>
          <w:szCs w:val="24"/>
        </w:rPr>
        <w:t>-</w:t>
      </w:r>
      <w:r w:rsidR="00CF4BC5">
        <w:rPr>
          <w:sz w:val="24"/>
          <w:szCs w:val="24"/>
        </w:rPr>
        <w:t>xxx-xxx</w:t>
      </w:r>
    </w:p>
    <w:p w14:paraId="774833B2" w14:textId="25E8B744" w:rsidR="00AA7B93" w:rsidRPr="0094074E" w:rsidRDefault="00AA7B93" w:rsidP="00AA7B93">
      <w:pPr>
        <w:pStyle w:val="Azrastil"/>
        <w:rPr>
          <w:sz w:val="24"/>
          <w:szCs w:val="24"/>
        </w:rPr>
      </w:pPr>
      <w:r w:rsidRPr="0094074E">
        <w:rPr>
          <w:sz w:val="24"/>
          <w:szCs w:val="24"/>
        </w:rPr>
        <w:t xml:space="preserve">U Zagrebu, </w:t>
      </w:r>
      <w:r w:rsidR="00CF4BC5">
        <w:rPr>
          <w:sz w:val="24"/>
          <w:szCs w:val="24"/>
        </w:rPr>
        <w:t>xx</w:t>
      </w:r>
      <w:r w:rsidRPr="0094074E">
        <w:rPr>
          <w:sz w:val="24"/>
          <w:szCs w:val="24"/>
        </w:rPr>
        <w:t>.</w:t>
      </w:r>
      <w:r w:rsidR="00CF4BC5">
        <w:rPr>
          <w:sz w:val="24"/>
          <w:szCs w:val="24"/>
        </w:rPr>
        <w:t>xx.xxx</w:t>
      </w:r>
    </w:p>
    <w:p w14:paraId="27F42DB9" w14:textId="77777777" w:rsidR="00AA7B93" w:rsidRPr="0094074E" w:rsidRDefault="00AA7B93" w:rsidP="00AA7B93">
      <w:pPr>
        <w:pStyle w:val="Azrastil"/>
        <w:rPr>
          <w:i/>
          <w:color w:val="000000"/>
          <w:sz w:val="24"/>
          <w:szCs w:val="24"/>
          <w:lang w:val="cs-CZ"/>
        </w:rPr>
      </w:pPr>
    </w:p>
    <w:p w14:paraId="5D8AE800" w14:textId="77777777" w:rsidR="00AA7B93" w:rsidRPr="0094074E" w:rsidRDefault="00AA7B93" w:rsidP="00AA7B93">
      <w:pPr>
        <w:pStyle w:val="Azrastil"/>
        <w:rPr>
          <w:i/>
          <w:color w:val="000000"/>
          <w:sz w:val="24"/>
          <w:szCs w:val="24"/>
          <w:lang w:val="cs-CZ"/>
        </w:rPr>
      </w:pPr>
    </w:p>
    <w:p w14:paraId="34F32104" w14:textId="77777777" w:rsidR="00AA7B93" w:rsidRPr="0094074E" w:rsidRDefault="00AA7B93" w:rsidP="00AA7B93">
      <w:pPr>
        <w:pStyle w:val="Azrastil"/>
        <w:rPr>
          <w:rFonts w:eastAsia="Times New Roman"/>
          <w:sz w:val="24"/>
          <w:szCs w:val="24"/>
        </w:rPr>
      </w:pPr>
    </w:p>
    <w:p w14:paraId="6E466833" w14:textId="2796FBEF" w:rsidR="00AA7B93" w:rsidRPr="0094074E" w:rsidRDefault="00AA7B93" w:rsidP="00AA7B93">
      <w:pPr>
        <w:pStyle w:val="Azrastil"/>
        <w:rPr>
          <w:rFonts w:eastAsia="Times New Roman"/>
          <w:sz w:val="24"/>
          <w:szCs w:val="24"/>
          <w:lang w:val="en-GB"/>
        </w:rPr>
      </w:pPr>
      <w:r w:rsidRPr="0094074E">
        <w:rPr>
          <w:rFonts w:eastAsia="Times New Roman"/>
          <w:sz w:val="24"/>
          <w:szCs w:val="24"/>
          <w:lang w:val="en-GB"/>
        </w:rPr>
        <w:t xml:space="preserve">Izvršitelj:     </w:t>
      </w:r>
      <w:r w:rsidR="00B30BC5">
        <w:rPr>
          <w:rFonts w:eastAsia="Times New Roman"/>
          <w:sz w:val="24"/>
          <w:szCs w:val="24"/>
          <w:lang w:val="en-GB"/>
        </w:rPr>
        <w:tab/>
      </w:r>
      <w:r w:rsidR="00B30BC5">
        <w:rPr>
          <w:rFonts w:eastAsia="Times New Roman"/>
          <w:sz w:val="24"/>
          <w:szCs w:val="24"/>
          <w:lang w:val="en-GB"/>
        </w:rPr>
        <w:tab/>
      </w:r>
      <w:r w:rsidR="00B30BC5">
        <w:rPr>
          <w:rFonts w:eastAsia="Times New Roman"/>
          <w:sz w:val="24"/>
          <w:szCs w:val="24"/>
          <w:lang w:val="en-GB"/>
        </w:rPr>
        <w:tab/>
      </w:r>
      <w:r w:rsidR="00B30BC5">
        <w:rPr>
          <w:rFonts w:eastAsia="Times New Roman"/>
          <w:sz w:val="24"/>
          <w:szCs w:val="24"/>
          <w:lang w:val="en-GB"/>
        </w:rPr>
        <w:tab/>
      </w:r>
      <w:r w:rsidR="00B30BC5">
        <w:rPr>
          <w:rFonts w:eastAsia="Times New Roman"/>
          <w:sz w:val="24"/>
          <w:szCs w:val="24"/>
          <w:lang w:val="en-GB"/>
        </w:rPr>
        <w:tab/>
        <w:t xml:space="preserve">                                                     </w:t>
      </w:r>
      <w:r>
        <w:rPr>
          <w:rFonts w:eastAsia="Times New Roman"/>
          <w:sz w:val="24"/>
          <w:szCs w:val="24"/>
          <w:lang w:val="en-GB"/>
        </w:rPr>
        <w:t xml:space="preserve"> </w:t>
      </w:r>
      <w:r w:rsidR="00B30BC5">
        <w:rPr>
          <w:rFonts w:eastAsia="Times New Roman"/>
          <w:sz w:val="24"/>
          <w:szCs w:val="24"/>
          <w:lang w:val="en-GB"/>
        </w:rPr>
        <w:t xml:space="preserve"> </w:t>
      </w:r>
      <w:r>
        <w:rPr>
          <w:rFonts w:eastAsia="Times New Roman"/>
          <w:sz w:val="24"/>
          <w:szCs w:val="24"/>
          <w:lang w:val="en-GB"/>
        </w:rPr>
        <w:t>Naručitelj:</w:t>
      </w:r>
      <w:r w:rsidRPr="0094074E">
        <w:rPr>
          <w:rFonts w:eastAsia="Times New Roman"/>
          <w:sz w:val="24"/>
          <w:szCs w:val="24"/>
          <w:lang w:val="en-GB"/>
        </w:rPr>
        <w:t xml:space="preserve">                                                                                                                                                                                                                                                                                  </w:t>
      </w:r>
      <w:r w:rsidR="00B30BC5">
        <w:rPr>
          <w:rFonts w:eastAsia="Times New Roman"/>
          <w:sz w:val="24"/>
          <w:szCs w:val="24"/>
          <w:lang w:val="en-GB"/>
        </w:rPr>
        <w:t>Direktor</w:t>
      </w:r>
      <w:r w:rsidR="00B30BC5">
        <w:rPr>
          <w:rFonts w:eastAsia="Times New Roman"/>
          <w:sz w:val="24"/>
          <w:szCs w:val="24"/>
          <w:lang w:val="en-GB"/>
        </w:rPr>
        <w:tab/>
      </w:r>
      <w:r w:rsidR="00B30BC5">
        <w:rPr>
          <w:rFonts w:eastAsia="Times New Roman"/>
          <w:sz w:val="24"/>
          <w:szCs w:val="24"/>
          <w:lang w:val="en-GB"/>
        </w:rPr>
        <w:tab/>
      </w:r>
      <w:r w:rsidR="00B30BC5">
        <w:rPr>
          <w:rFonts w:eastAsia="Times New Roman"/>
          <w:sz w:val="24"/>
          <w:szCs w:val="24"/>
          <w:lang w:val="en-GB"/>
        </w:rPr>
        <w:tab/>
      </w:r>
      <w:r w:rsidR="00B30BC5">
        <w:rPr>
          <w:rFonts w:eastAsia="Times New Roman"/>
          <w:sz w:val="24"/>
          <w:szCs w:val="24"/>
          <w:lang w:val="en-GB"/>
        </w:rPr>
        <w:tab/>
      </w:r>
      <w:r w:rsidR="00B30BC5">
        <w:rPr>
          <w:rFonts w:eastAsia="Times New Roman"/>
          <w:sz w:val="24"/>
          <w:szCs w:val="24"/>
          <w:lang w:val="en-GB"/>
        </w:rPr>
        <w:tab/>
      </w:r>
      <w:r w:rsidR="00B30BC5">
        <w:rPr>
          <w:rFonts w:eastAsia="Times New Roman"/>
          <w:sz w:val="24"/>
          <w:szCs w:val="24"/>
          <w:lang w:val="en-GB"/>
        </w:rPr>
        <w:tab/>
      </w:r>
      <w:r w:rsidR="00B30BC5">
        <w:rPr>
          <w:rFonts w:eastAsia="Times New Roman"/>
          <w:sz w:val="24"/>
          <w:szCs w:val="24"/>
          <w:lang w:val="en-GB"/>
        </w:rPr>
        <w:tab/>
      </w:r>
      <w:r w:rsidR="00B30BC5">
        <w:rPr>
          <w:rFonts w:eastAsia="Times New Roman"/>
          <w:sz w:val="24"/>
          <w:szCs w:val="24"/>
          <w:lang w:val="en-GB"/>
        </w:rPr>
        <w:tab/>
        <w:t xml:space="preserve">                </w:t>
      </w:r>
      <w:r w:rsidRPr="0094074E">
        <w:rPr>
          <w:rFonts w:eastAsia="Times New Roman"/>
          <w:sz w:val="24"/>
          <w:szCs w:val="24"/>
          <w:lang w:val="en-GB"/>
        </w:rPr>
        <w:t>Ravnateljica</w:t>
      </w:r>
    </w:p>
    <w:p w14:paraId="1E184CE3" w14:textId="0C96BC27" w:rsidR="00AA7B93" w:rsidRDefault="00B30BC5" w:rsidP="00AA7B93">
      <w:pPr>
        <w:pStyle w:val="Azrastil"/>
      </w:pPr>
      <w:r>
        <w:rPr>
          <w:rFonts w:eastAsia="Times New Roman"/>
          <w:sz w:val="24"/>
          <w:szCs w:val="24"/>
          <w:lang w:val="en-GB"/>
        </w:rPr>
        <w:t xml:space="preserve">                                                                                                            p</w:t>
      </w:r>
      <w:r w:rsidR="00AA7B93" w:rsidRPr="0094074E">
        <w:rPr>
          <w:rFonts w:eastAsia="Times New Roman"/>
          <w:sz w:val="24"/>
          <w:szCs w:val="24"/>
          <w:lang w:val="en-GB"/>
        </w:rPr>
        <w:t>rof.dr.sc. Alemka Markotić, dr.med.</w:t>
      </w:r>
    </w:p>
    <w:p w14:paraId="1DFB3417" w14:textId="5B373BFB" w:rsidR="00953546" w:rsidRDefault="00953546" w:rsidP="00AB2FDA">
      <w:pPr>
        <w:pStyle w:val="Azrastil"/>
        <w:rPr>
          <w:i/>
          <w:szCs w:val="24"/>
          <w:lang w:val="en-US"/>
        </w:rPr>
      </w:pPr>
    </w:p>
    <w:p w14:paraId="26186DC2" w14:textId="3FAE345B" w:rsidR="00953546" w:rsidRDefault="00953546" w:rsidP="00AB2FDA">
      <w:pPr>
        <w:pStyle w:val="Azrastil"/>
        <w:rPr>
          <w:i/>
          <w:szCs w:val="24"/>
          <w:lang w:val="en-US"/>
        </w:rPr>
      </w:pPr>
    </w:p>
    <w:p w14:paraId="191B64F2" w14:textId="49792AEA" w:rsidR="00953546" w:rsidRDefault="00953546" w:rsidP="00AB2FDA">
      <w:pPr>
        <w:pStyle w:val="Azrastil"/>
        <w:rPr>
          <w:i/>
          <w:szCs w:val="24"/>
          <w:lang w:val="en-US"/>
        </w:rPr>
      </w:pPr>
    </w:p>
    <w:p w14:paraId="7C24163B" w14:textId="3C78E942" w:rsidR="00953546" w:rsidRPr="00D37ACF" w:rsidRDefault="00953546" w:rsidP="00AB2FDA">
      <w:pPr>
        <w:pStyle w:val="Azrastil"/>
        <w:rPr>
          <w:i/>
          <w:szCs w:val="24"/>
          <w:lang w:val="en-US"/>
        </w:rPr>
      </w:pPr>
    </w:p>
    <w:sectPr w:rsidR="00953546" w:rsidRPr="00D37ACF"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AC88" w14:textId="77777777" w:rsidR="00821E0A" w:rsidRDefault="00821E0A" w:rsidP="003C4578">
      <w:pPr>
        <w:spacing w:after="0" w:line="240" w:lineRule="auto"/>
      </w:pPr>
      <w:r>
        <w:separator/>
      </w:r>
    </w:p>
  </w:endnote>
  <w:endnote w:type="continuationSeparator" w:id="0">
    <w:p w14:paraId="6F9FD994" w14:textId="77777777" w:rsidR="00821E0A" w:rsidRDefault="00821E0A"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94458"/>
      <w:docPartObj>
        <w:docPartGallery w:val="Page Numbers (Bottom of Page)"/>
        <w:docPartUnique/>
      </w:docPartObj>
    </w:sdtPr>
    <w:sdtEndPr>
      <w:rPr>
        <w:noProof/>
      </w:rPr>
    </w:sdtEndPr>
    <w:sdtContent>
      <w:p w14:paraId="3EEAA50A" w14:textId="67D93B76" w:rsidR="00821E0A" w:rsidRDefault="00821E0A">
        <w:pPr>
          <w:pStyle w:val="Footer"/>
          <w:jc w:val="center"/>
        </w:pPr>
        <w:r>
          <w:fldChar w:fldCharType="begin"/>
        </w:r>
        <w:r>
          <w:instrText xml:space="preserve"> PAGE   \* MERGEFORMAT </w:instrText>
        </w:r>
        <w:r>
          <w:fldChar w:fldCharType="separate"/>
        </w:r>
        <w:r w:rsidR="00C1715F">
          <w:rPr>
            <w:noProof/>
          </w:rPr>
          <w:t>6</w:t>
        </w:r>
        <w:r>
          <w:rPr>
            <w:noProof/>
          </w:rPr>
          <w:fldChar w:fldCharType="end"/>
        </w:r>
      </w:p>
    </w:sdtContent>
  </w:sdt>
  <w:p w14:paraId="4BD0C80E" w14:textId="77777777" w:rsidR="00821E0A" w:rsidRDefault="00821E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2AEC8" w14:textId="77777777" w:rsidR="00821E0A" w:rsidRDefault="00821E0A" w:rsidP="003C4578">
      <w:pPr>
        <w:spacing w:after="0" w:line="240" w:lineRule="auto"/>
      </w:pPr>
      <w:r>
        <w:separator/>
      </w:r>
    </w:p>
  </w:footnote>
  <w:footnote w:type="continuationSeparator" w:id="0">
    <w:p w14:paraId="7409906B" w14:textId="77777777" w:rsidR="00821E0A" w:rsidRDefault="00821E0A" w:rsidP="003C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180CFD48"/>
    <w:lvl w:ilvl="0" w:tplc="8A567B1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22350F"/>
    <w:multiLevelType w:val="hybridMultilevel"/>
    <w:tmpl w:val="DBB0747A"/>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07D6990"/>
    <w:multiLevelType w:val="hybridMultilevel"/>
    <w:tmpl w:val="11E0391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5A6F13EE"/>
    <w:multiLevelType w:val="hybridMultilevel"/>
    <w:tmpl w:val="80142810"/>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16D54C5"/>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0"/>
  </w:num>
  <w:num w:numId="4">
    <w:abstractNumId w:val="7"/>
  </w:num>
  <w:num w:numId="5">
    <w:abstractNumId w:val="1"/>
  </w:num>
  <w:num w:numId="6">
    <w:abstractNumId w:val="17"/>
  </w:num>
  <w:num w:numId="7">
    <w:abstractNumId w:val="2"/>
  </w:num>
  <w:num w:numId="8">
    <w:abstractNumId w:val="9"/>
  </w:num>
  <w:num w:numId="9">
    <w:abstractNumId w:val="8"/>
  </w:num>
  <w:num w:numId="10">
    <w:abstractNumId w:val="9"/>
  </w:num>
  <w:num w:numId="11">
    <w:abstractNumId w:val="8"/>
  </w:num>
  <w:num w:numId="12">
    <w:abstractNumId w:val="26"/>
  </w:num>
  <w:num w:numId="13">
    <w:abstractNumId w:val="4"/>
  </w:num>
  <w:num w:numId="14">
    <w:abstractNumId w:val="16"/>
  </w:num>
  <w:num w:numId="15">
    <w:abstractNumId w:val="27"/>
  </w:num>
  <w:num w:numId="16">
    <w:abstractNumId w:val="24"/>
  </w:num>
  <w:num w:numId="17">
    <w:abstractNumId w:val="23"/>
  </w:num>
  <w:num w:numId="18">
    <w:abstractNumId w:val="6"/>
  </w:num>
  <w:num w:numId="19">
    <w:abstractNumId w:val="20"/>
  </w:num>
  <w:num w:numId="20">
    <w:abstractNumId w:val="0"/>
  </w:num>
  <w:num w:numId="21">
    <w:abstractNumId w:val="9"/>
  </w:num>
  <w:num w:numId="22">
    <w:abstractNumId w:val="11"/>
  </w:num>
  <w:num w:numId="23">
    <w:abstractNumId w:val="18"/>
  </w:num>
  <w:num w:numId="24">
    <w:abstractNumId w:val="3"/>
  </w:num>
  <w:num w:numId="25">
    <w:abstractNumId w:val="12"/>
  </w:num>
  <w:num w:numId="26">
    <w:abstractNumId w:val="22"/>
  </w:num>
  <w:num w:numId="27">
    <w:abstractNumId w:val="1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9"/>
  </w:num>
  <w:num w:numId="3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00F05"/>
    <w:rsid w:val="00001225"/>
    <w:rsid w:val="00011C0B"/>
    <w:rsid w:val="000176F0"/>
    <w:rsid w:val="0004153E"/>
    <w:rsid w:val="000501A6"/>
    <w:rsid w:val="00053F15"/>
    <w:rsid w:val="0007213D"/>
    <w:rsid w:val="00082848"/>
    <w:rsid w:val="0008547D"/>
    <w:rsid w:val="00087179"/>
    <w:rsid w:val="00090385"/>
    <w:rsid w:val="000933EC"/>
    <w:rsid w:val="000A0542"/>
    <w:rsid w:val="000A1B4F"/>
    <w:rsid w:val="000A3B41"/>
    <w:rsid w:val="000B1CBE"/>
    <w:rsid w:val="000C4706"/>
    <w:rsid w:val="000C6417"/>
    <w:rsid w:val="000E1629"/>
    <w:rsid w:val="000E74E4"/>
    <w:rsid w:val="001011F9"/>
    <w:rsid w:val="00112227"/>
    <w:rsid w:val="001156FA"/>
    <w:rsid w:val="00117116"/>
    <w:rsid w:val="0012598E"/>
    <w:rsid w:val="00132869"/>
    <w:rsid w:val="00132AD7"/>
    <w:rsid w:val="001349BB"/>
    <w:rsid w:val="00162537"/>
    <w:rsid w:val="00163AAB"/>
    <w:rsid w:val="00174B1D"/>
    <w:rsid w:val="00175F67"/>
    <w:rsid w:val="00181797"/>
    <w:rsid w:val="001850FC"/>
    <w:rsid w:val="00185733"/>
    <w:rsid w:val="001875B2"/>
    <w:rsid w:val="00190685"/>
    <w:rsid w:val="00197876"/>
    <w:rsid w:val="001A28A3"/>
    <w:rsid w:val="001B19C7"/>
    <w:rsid w:val="001B46C5"/>
    <w:rsid w:val="001C2063"/>
    <w:rsid w:val="001C45CF"/>
    <w:rsid w:val="001F42DC"/>
    <w:rsid w:val="001F6CC4"/>
    <w:rsid w:val="002033B7"/>
    <w:rsid w:val="00213A4D"/>
    <w:rsid w:val="00214BF5"/>
    <w:rsid w:val="00242237"/>
    <w:rsid w:val="002537D1"/>
    <w:rsid w:val="00275385"/>
    <w:rsid w:val="00276D85"/>
    <w:rsid w:val="00283F03"/>
    <w:rsid w:val="00291996"/>
    <w:rsid w:val="002920FD"/>
    <w:rsid w:val="002C02D9"/>
    <w:rsid w:val="002C7ADF"/>
    <w:rsid w:val="002E0596"/>
    <w:rsid w:val="002E7023"/>
    <w:rsid w:val="002F20F3"/>
    <w:rsid w:val="002F4DE2"/>
    <w:rsid w:val="00305510"/>
    <w:rsid w:val="003176F7"/>
    <w:rsid w:val="00326DE7"/>
    <w:rsid w:val="00342681"/>
    <w:rsid w:val="0036138C"/>
    <w:rsid w:val="003662A5"/>
    <w:rsid w:val="00372953"/>
    <w:rsid w:val="00373857"/>
    <w:rsid w:val="00387E2F"/>
    <w:rsid w:val="003977DE"/>
    <w:rsid w:val="003B771F"/>
    <w:rsid w:val="003C44D0"/>
    <w:rsid w:val="003C4578"/>
    <w:rsid w:val="003C6DBC"/>
    <w:rsid w:val="003E22D2"/>
    <w:rsid w:val="0041161F"/>
    <w:rsid w:val="004129BA"/>
    <w:rsid w:val="00420823"/>
    <w:rsid w:val="004604EE"/>
    <w:rsid w:val="0047052B"/>
    <w:rsid w:val="00476387"/>
    <w:rsid w:val="004906DD"/>
    <w:rsid w:val="00493DAB"/>
    <w:rsid w:val="004A7F75"/>
    <w:rsid w:val="004B69AD"/>
    <w:rsid w:val="004C020A"/>
    <w:rsid w:val="004C2750"/>
    <w:rsid w:val="004C7286"/>
    <w:rsid w:val="004D2CAC"/>
    <w:rsid w:val="004E1FCE"/>
    <w:rsid w:val="004E6C1F"/>
    <w:rsid w:val="00534413"/>
    <w:rsid w:val="00554760"/>
    <w:rsid w:val="00554AA1"/>
    <w:rsid w:val="00561689"/>
    <w:rsid w:val="00563B00"/>
    <w:rsid w:val="005713B5"/>
    <w:rsid w:val="005760E3"/>
    <w:rsid w:val="005801B4"/>
    <w:rsid w:val="0058151E"/>
    <w:rsid w:val="00584164"/>
    <w:rsid w:val="00584DBC"/>
    <w:rsid w:val="005A2603"/>
    <w:rsid w:val="005A6450"/>
    <w:rsid w:val="005A6B2D"/>
    <w:rsid w:val="005B2592"/>
    <w:rsid w:val="005B2BB4"/>
    <w:rsid w:val="005D2316"/>
    <w:rsid w:val="005E41B3"/>
    <w:rsid w:val="005E73C8"/>
    <w:rsid w:val="005F1061"/>
    <w:rsid w:val="00613A2D"/>
    <w:rsid w:val="006179FF"/>
    <w:rsid w:val="00634A83"/>
    <w:rsid w:val="006425F6"/>
    <w:rsid w:val="00642BDA"/>
    <w:rsid w:val="00643C02"/>
    <w:rsid w:val="006533AE"/>
    <w:rsid w:val="00684CA3"/>
    <w:rsid w:val="006B172F"/>
    <w:rsid w:val="006B7372"/>
    <w:rsid w:val="006F1A64"/>
    <w:rsid w:val="006F26B1"/>
    <w:rsid w:val="00711C2E"/>
    <w:rsid w:val="00712FAF"/>
    <w:rsid w:val="00726E1C"/>
    <w:rsid w:val="00731B6B"/>
    <w:rsid w:val="00753EFD"/>
    <w:rsid w:val="00755A83"/>
    <w:rsid w:val="00756CFD"/>
    <w:rsid w:val="007635F8"/>
    <w:rsid w:val="00763A69"/>
    <w:rsid w:val="00766A67"/>
    <w:rsid w:val="007734C9"/>
    <w:rsid w:val="007912D0"/>
    <w:rsid w:val="007913A0"/>
    <w:rsid w:val="00796D83"/>
    <w:rsid w:val="007A03CA"/>
    <w:rsid w:val="007C4820"/>
    <w:rsid w:val="007D1B8A"/>
    <w:rsid w:val="007D2525"/>
    <w:rsid w:val="007D534C"/>
    <w:rsid w:val="00821E0A"/>
    <w:rsid w:val="00824825"/>
    <w:rsid w:val="00824CCB"/>
    <w:rsid w:val="008366A0"/>
    <w:rsid w:val="00842C82"/>
    <w:rsid w:val="0084481D"/>
    <w:rsid w:val="00856EB9"/>
    <w:rsid w:val="008603EC"/>
    <w:rsid w:val="0086348D"/>
    <w:rsid w:val="008706CC"/>
    <w:rsid w:val="00871E5F"/>
    <w:rsid w:val="00884700"/>
    <w:rsid w:val="00896F38"/>
    <w:rsid w:val="008A26CC"/>
    <w:rsid w:val="008B49D7"/>
    <w:rsid w:val="008C1B65"/>
    <w:rsid w:val="008D0508"/>
    <w:rsid w:val="008D06D8"/>
    <w:rsid w:val="008D5EFB"/>
    <w:rsid w:val="008E3BB1"/>
    <w:rsid w:val="008F0F12"/>
    <w:rsid w:val="008F2668"/>
    <w:rsid w:val="009179EE"/>
    <w:rsid w:val="00931878"/>
    <w:rsid w:val="00940E5E"/>
    <w:rsid w:val="00944BB3"/>
    <w:rsid w:val="00953546"/>
    <w:rsid w:val="00966432"/>
    <w:rsid w:val="00973CA9"/>
    <w:rsid w:val="0098014F"/>
    <w:rsid w:val="009A2C23"/>
    <w:rsid w:val="009C5B67"/>
    <w:rsid w:val="009C74B6"/>
    <w:rsid w:val="009D0789"/>
    <w:rsid w:val="009D09B8"/>
    <w:rsid w:val="009D55F3"/>
    <w:rsid w:val="009D5C16"/>
    <w:rsid w:val="009F7338"/>
    <w:rsid w:val="00A10E65"/>
    <w:rsid w:val="00A1502A"/>
    <w:rsid w:val="00A155FD"/>
    <w:rsid w:val="00A16373"/>
    <w:rsid w:val="00A16DBF"/>
    <w:rsid w:val="00A22FA7"/>
    <w:rsid w:val="00A24B53"/>
    <w:rsid w:val="00A42DD0"/>
    <w:rsid w:val="00A42F9B"/>
    <w:rsid w:val="00A44376"/>
    <w:rsid w:val="00A4615A"/>
    <w:rsid w:val="00A470E6"/>
    <w:rsid w:val="00A56AB9"/>
    <w:rsid w:val="00A62950"/>
    <w:rsid w:val="00A75E9D"/>
    <w:rsid w:val="00A829DC"/>
    <w:rsid w:val="00AA26A7"/>
    <w:rsid w:val="00AA5930"/>
    <w:rsid w:val="00AA7B93"/>
    <w:rsid w:val="00AB2FDA"/>
    <w:rsid w:val="00AD0643"/>
    <w:rsid w:val="00AD0725"/>
    <w:rsid w:val="00AD2A5D"/>
    <w:rsid w:val="00AD7142"/>
    <w:rsid w:val="00AF2110"/>
    <w:rsid w:val="00B05CC0"/>
    <w:rsid w:val="00B14BB9"/>
    <w:rsid w:val="00B17499"/>
    <w:rsid w:val="00B301C5"/>
    <w:rsid w:val="00B30BC5"/>
    <w:rsid w:val="00B347E0"/>
    <w:rsid w:val="00B42A4D"/>
    <w:rsid w:val="00B45084"/>
    <w:rsid w:val="00B60BE4"/>
    <w:rsid w:val="00B71F88"/>
    <w:rsid w:val="00B822B0"/>
    <w:rsid w:val="00B97A75"/>
    <w:rsid w:val="00BB426E"/>
    <w:rsid w:val="00BD4D12"/>
    <w:rsid w:val="00BE3580"/>
    <w:rsid w:val="00BE540D"/>
    <w:rsid w:val="00BE6292"/>
    <w:rsid w:val="00BF064A"/>
    <w:rsid w:val="00C01010"/>
    <w:rsid w:val="00C02773"/>
    <w:rsid w:val="00C040FF"/>
    <w:rsid w:val="00C1365B"/>
    <w:rsid w:val="00C13778"/>
    <w:rsid w:val="00C1715F"/>
    <w:rsid w:val="00C20462"/>
    <w:rsid w:val="00C21F17"/>
    <w:rsid w:val="00C319DB"/>
    <w:rsid w:val="00C322A8"/>
    <w:rsid w:val="00C45D3F"/>
    <w:rsid w:val="00C5374B"/>
    <w:rsid w:val="00C7728F"/>
    <w:rsid w:val="00C90E88"/>
    <w:rsid w:val="00C94A6E"/>
    <w:rsid w:val="00C961EC"/>
    <w:rsid w:val="00CB1371"/>
    <w:rsid w:val="00CC2368"/>
    <w:rsid w:val="00CD58AC"/>
    <w:rsid w:val="00CD740A"/>
    <w:rsid w:val="00CE562C"/>
    <w:rsid w:val="00CE7157"/>
    <w:rsid w:val="00CE7EA6"/>
    <w:rsid w:val="00CF4BC5"/>
    <w:rsid w:val="00CF5808"/>
    <w:rsid w:val="00CF79F7"/>
    <w:rsid w:val="00D01D13"/>
    <w:rsid w:val="00D150CA"/>
    <w:rsid w:val="00D253B7"/>
    <w:rsid w:val="00D32494"/>
    <w:rsid w:val="00D356E2"/>
    <w:rsid w:val="00D37ACF"/>
    <w:rsid w:val="00D6718A"/>
    <w:rsid w:val="00D703C2"/>
    <w:rsid w:val="00D746D7"/>
    <w:rsid w:val="00D81860"/>
    <w:rsid w:val="00D9475B"/>
    <w:rsid w:val="00D95592"/>
    <w:rsid w:val="00DB4DBD"/>
    <w:rsid w:val="00DE6A44"/>
    <w:rsid w:val="00DF0C5A"/>
    <w:rsid w:val="00E00BB9"/>
    <w:rsid w:val="00E371D8"/>
    <w:rsid w:val="00E374AF"/>
    <w:rsid w:val="00E6421F"/>
    <w:rsid w:val="00E70D6F"/>
    <w:rsid w:val="00E802C2"/>
    <w:rsid w:val="00E87514"/>
    <w:rsid w:val="00E90D4C"/>
    <w:rsid w:val="00EA64AE"/>
    <w:rsid w:val="00EB58C5"/>
    <w:rsid w:val="00EC1190"/>
    <w:rsid w:val="00ED492F"/>
    <w:rsid w:val="00EF694E"/>
    <w:rsid w:val="00F42581"/>
    <w:rsid w:val="00F551E5"/>
    <w:rsid w:val="00F63C14"/>
    <w:rsid w:val="00F775ED"/>
    <w:rsid w:val="00F9520A"/>
    <w:rsid w:val="00FA2534"/>
    <w:rsid w:val="00FA4421"/>
    <w:rsid w:val="00FB1740"/>
    <w:rsid w:val="00FB6B5C"/>
    <w:rsid w:val="00FB7D7D"/>
    <w:rsid w:val="00FC1514"/>
    <w:rsid w:val="00FC2739"/>
    <w:rsid w:val="00FC7065"/>
    <w:rsid w:val="00FC738B"/>
    <w:rsid w:val="00FD312E"/>
    <w:rsid w:val="00FD341C"/>
    <w:rsid w:val="00FE10EC"/>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1"/>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40E2-DFFA-447C-9B32-451F95EE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15</Pages>
  <Words>4485</Words>
  <Characters>25571</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Filip Crnogorac</cp:lastModifiedBy>
  <cp:revision>214</cp:revision>
  <cp:lastPrinted>2020-06-04T06:10:00Z</cp:lastPrinted>
  <dcterms:created xsi:type="dcterms:W3CDTF">2020-02-07T08:43:00Z</dcterms:created>
  <dcterms:modified xsi:type="dcterms:W3CDTF">2021-04-20T12:59:00Z</dcterms:modified>
</cp:coreProperties>
</file>